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1F" w:rsidRDefault="00622C1F" w:rsidP="00622C1F">
      <w:pPr>
        <w:pStyle w:val="NoSpacing"/>
        <w:jc w:val="both"/>
      </w:pPr>
      <w:r>
        <w:t xml:space="preserve">                                                                                                                                                           Н а ц р т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</w:p>
    <w:p w:rsidR="00622C1F" w:rsidRDefault="00622C1F" w:rsidP="00071D09">
      <w:pPr>
        <w:pStyle w:val="NoSpacing"/>
        <w:ind w:firstLine="720"/>
        <w:jc w:val="both"/>
      </w:pPr>
      <w:r>
        <w:t>На основу  члана 14.став 1) тачка 2а, подтачка 1) Закона о буџетском систему („Сл.гл.РС„,бр.54/2009,73/2010,101/2010,101/2011,93/2012,63/2013,180/2013,142/14,68/15,103/15,99/16 , 113/17, 95/18, 31/2019,,33/2019,48/2019), члана 6,7,11, 12,13,15 - 18 .   Зак</w:t>
      </w:r>
      <w:r w:rsidR="00071D09">
        <w:t xml:space="preserve">она о  финансирању локалне самоуправе(„Службени </w:t>
      </w:r>
      <w:r>
        <w:t xml:space="preserve">гласник РС“„бр.62/2006,47/2011,93/2012,99/2013,125/2014,91/15,83/16..104/2016,96/2017,95/2018) , члана 40  став 1.. Тачка 3. Статута општине Лајковац ( „ Службени гласник  општине Лајковац“ , бр. 2/2019 ), Скупштина општине Лајковац , на седници одржаној дана 2019.године, донела је </w:t>
      </w:r>
    </w:p>
    <w:p w:rsidR="00622C1F" w:rsidRDefault="00622C1F" w:rsidP="00071D09">
      <w:pPr>
        <w:pStyle w:val="NoSpacing"/>
        <w:jc w:val="both"/>
      </w:pPr>
    </w:p>
    <w:p w:rsidR="00355A23" w:rsidRDefault="00355A23" w:rsidP="00071D09">
      <w:pPr>
        <w:pStyle w:val="NoSpacing"/>
        <w:jc w:val="both"/>
      </w:pPr>
    </w:p>
    <w:p w:rsidR="00355A23" w:rsidRDefault="00355A23" w:rsidP="00622C1F">
      <w:pPr>
        <w:pStyle w:val="NoSpacing"/>
      </w:pPr>
    </w:p>
    <w:p w:rsidR="00622C1F" w:rsidRDefault="00622C1F" w:rsidP="00622C1F">
      <w:pPr>
        <w:pStyle w:val="NoSpacing"/>
        <w:jc w:val="center"/>
      </w:pPr>
      <w:r>
        <w:t>ОДЛУКА  О ЛОКАЛНИМ КОМУНАЛНИМ ТАКСАМА</w:t>
      </w:r>
    </w:p>
    <w:p w:rsidR="00622C1F" w:rsidRDefault="00622C1F" w:rsidP="00622C1F">
      <w:pPr>
        <w:pStyle w:val="NoSpacing"/>
        <w:jc w:val="center"/>
      </w:pPr>
    </w:p>
    <w:p w:rsidR="00622C1F" w:rsidRDefault="00622C1F" w:rsidP="00622C1F">
      <w:pPr>
        <w:pStyle w:val="NoSpacing"/>
        <w:jc w:val="center"/>
      </w:pPr>
      <w:r>
        <w:t>Члан 1.</w:t>
      </w: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  <w:jc w:val="center"/>
      </w:pPr>
      <w:bookmarkStart w:id="0" w:name="clan_15"/>
      <w:bookmarkEnd w:id="0"/>
    </w:p>
    <w:p w:rsidR="00622C1F" w:rsidRDefault="00622C1F" w:rsidP="00622C1F">
      <w:pPr>
        <w:pStyle w:val="NoSpacing"/>
        <w:jc w:val="both"/>
      </w:pPr>
      <w:r>
        <w:tab/>
        <w:t>Овом Одлуком  уводе се ,  утврђују  начин и мерила за утврђивање висине  локалних комуналних такса  за коришћење права , предмета и услуга на територији општине Лајковац , олакшице , рокови и начин плаћања .</w:t>
      </w:r>
    </w:p>
    <w:p w:rsidR="00622C1F" w:rsidRDefault="00622C1F" w:rsidP="00622C1F">
      <w:r>
        <w:tab/>
      </w:r>
      <w:r>
        <w:rPr>
          <w:rFonts w:ascii="Arial" w:hAnsi="Arial" w:cs="Arial"/>
          <w:color w:val="000000"/>
          <w:sz w:val="20"/>
          <w:szCs w:val="20"/>
        </w:rPr>
        <w:t>За коришћење права, предмета и услуга из става 1. овог члана не може се уводити посебна нанкнада.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622C1F" w:rsidRDefault="00622C1F" w:rsidP="00622C1F">
      <w:pPr>
        <w:pStyle w:val="NoSpacing"/>
        <w:jc w:val="center"/>
      </w:pPr>
      <w:r>
        <w:t>Члан 2.</w:t>
      </w:r>
    </w:p>
    <w:p w:rsidR="00622C1F" w:rsidRDefault="00622C1F" w:rsidP="00622C1F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tab/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Обвезник локалне комуналне јесте корисник права , предмета и услуга за чије је коришћење прописано плаћање локалне комуналне таксе.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3.</w:t>
      </w:r>
    </w:p>
    <w:p w:rsidR="00622C1F" w:rsidRDefault="00622C1F" w:rsidP="00622C1F">
      <w:pPr>
        <w:pStyle w:val="1tekst"/>
        <w:spacing w:before="0" w:beforeAutospacing="0" w:after="0" w:afterAutospacing="0"/>
        <w:ind w:left="375" w:right="375" w:firstLine="240"/>
        <w:jc w:val="both"/>
        <w:rPr>
          <w:rFonts w:ascii="Arial" w:hAnsi="Arial" w:cs="Arial"/>
          <w:color w:val="000000"/>
          <w:sz w:val="20"/>
          <w:szCs w:val="20"/>
        </w:rPr>
      </w:pPr>
      <w:r>
        <w:tab/>
      </w:r>
    </w:p>
    <w:p w:rsidR="00622C1F" w:rsidRDefault="00622C1F" w:rsidP="00622C1F">
      <w:pPr>
        <w:pStyle w:val="NoSpacing"/>
        <w:jc w:val="both"/>
      </w:pPr>
      <w:r>
        <w:tab/>
        <w:t>Таксена обавеза настаје даном почетка коришћења права , предмета или услуге за чије је коришћење прописано плаћање локалне комуналне таксе.</w:t>
      </w:r>
    </w:p>
    <w:p w:rsidR="00622C1F" w:rsidRDefault="00622C1F" w:rsidP="00622C1F">
      <w:pPr>
        <w:pStyle w:val="NoSpacing"/>
        <w:jc w:val="both"/>
      </w:pPr>
      <w:r>
        <w:tab/>
        <w:t>Таксена обавеза траје док траје коришћење  права , предмета или услуга.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4.</w:t>
      </w:r>
    </w:p>
    <w:p w:rsidR="00622C1F" w:rsidRDefault="00622C1F" w:rsidP="00622C1F">
      <w:pPr>
        <w:pStyle w:val="1tekst"/>
        <w:spacing w:before="0" w:beforeAutospacing="0" w:after="0" w:afterAutospacing="0"/>
        <w:ind w:right="375"/>
        <w:jc w:val="both"/>
      </w:pPr>
      <w:r>
        <w:tab/>
      </w:r>
    </w:p>
    <w:p w:rsidR="00622C1F" w:rsidRDefault="00622C1F" w:rsidP="00622C1F">
      <w:pPr>
        <w:pStyle w:val="NoSpacing"/>
        <w:jc w:val="both"/>
      </w:pPr>
      <w:r>
        <w:tab/>
        <w:t>Локалне комуналне таксе не плаћају се за коришћење права , предмета и услуга од стране државних органа и организација , органа и организација јединице локалне самоуправе 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5.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Локалне комуналне таксе уводе се за :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numPr>
          <w:ilvl w:val="0"/>
          <w:numId w:val="1"/>
        </w:numPr>
        <w:jc w:val="both"/>
      </w:pPr>
      <w:r>
        <w:t>Истицање фирме на пословном простору ;</w:t>
      </w:r>
    </w:p>
    <w:p w:rsidR="00622C1F" w:rsidRDefault="00622C1F" w:rsidP="00622C1F">
      <w:pPr>
        <w:pStyle w:val="NoSpacing"/>
        <w:numPr>
          <w:ilvl w:val="0"/>
          <w:numId w:val="1"/>
        </w:numPr>
        <w:jc w:val="both"/>
      </w:pPr>
      <w:r>
        <w:t>Држање моторних друмских и прикључних возила , осим пољопривредних возила и машина ;</w:t>
      </w:r>
    </w:p>
    <w:p w:rsidR="00622C1F" w:rsidRDefault="00622C1F" w:rsidP="00622C1F">
      <w:pPr>
        <w:pStyle w:val="NoSpacing"/>
        <w:numPr>
          <w:ilvl w:val="0"/>
          <w:numId w:val="1"/>
        </w:numPr>
        <w:jc w:val="both"/>
      </w:pPr>
      <w:r>
        <w:t>Држање средстава за игру ( „ забавне игре „ );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</w:r>
    </w:p>
    <w:p w:rsidR="00355A23" w:rsidRDefault="00355A23" w:rsidP="00622C1F">
      <w:pPr>
        <w:pStyle w:val="NoSpacing"/>
        <w:jc w:val="both"/>
      </w:pPr>
    </w:p>
    <w:p w:rsidR="00355A23" w:rsidRDefault="00355A23" w:rsidP="00622C1F">
      <w:pPr>
        <w:pStyle w:val="NoSpacing"/>
        <w:jc w:val="both"/>
      </w:pPr>
    </w:p>
    <w:p w:rsidR="00355A23" w:rsidRDefault="00355A23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6.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Локалне комуналне таксе из члана 5. Тачкe 1) и 2 ) утврђују се у годишњем износу, а из тачке 3)  утврђују  се у дневном износу.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tabs>
          <w:tab w:val="center" w:pos="5103"/>
        </w:tabs>
      </w:pPr>
      <w:r>
        <w:tab/>
      </w:r>
    </w:p>
    <w:p w:rsidR="00622C1F" w:rsidRDefault="00622C1F" w:rsidP="00622C1F">
      <w:pPr>
        <w:pStyle w:val="NoSpacing"/>
        <w:tabs>
          <w:tab w:val="center" w:pos="5103"/>
        </w:tabs>
      </w:pPr>
    </w:p>
    <w:p w:rsidR="00622C1F" w:rsidRDefault="00622C1F" w:rsidP="00622C1F">
      <w:pPr>
        <w:pStyle w:val="NoSpacing"/>
        <w:tabs>
          <w:tab w:val="center" w:pos="5103"/>
        </w:tabs>
        <w:jc w:val="center"/>
      </w:pPr>
      <w:r>
        <w:t>Члан 7.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Фирма, у смислу ове Одлуке и Закона , јесте сваки истакнути назив или име које упућује на то да правно или физичко лице обавља  одређену делатност.</w:t>
      </w:r>
    </w:p>
    <w:p w:rsidR="00622C1F" w:rsidRDefault="00622C1F" w:rsidP="00622C1F">
      <w:pPr>
        <w:pStyle w:val="NoSpacing"/>
        <w:jc w:val="both"/>
      </w:pPr>
      <w:r>
        <w:tab/>
        <w:t>Ако се на једном пословном објекту налази више истакнутих фирми истог обвезника , такса се плаћа само за једну фирму.</w:t>
      </w:r>
    </w:p>
    <w:p w:rsidR="00622C1F" w:rsidRDefault="00622C1F" w:rsidP="00622C1F">
      <w:pPr>
        <w:pStyle w:val="NoSpacing"/>
        <w:jc w:val="both"/>
      </w:pPr>
      <w:r>
        <w:tab/>
        <w:t>За сваку истакнуту фирму ван пословног објектаа плаћа се такса за сваку истакнуту фирму, под условима предвиђеним овом Одлуком и Законом.</w:t>
      </w:r>
    </w:p>
    <w:p w:rsidR="00622C1F" w:rsidRDefault="00622C1F" w:rsidP="00622C1F">
      <w:pPr>
        <w:pStyle w:val="NoSpacing"/>
        <w:jc w:val="both"/>
      </w:pPr>
      <w:r>
        <w:tab/>
      </w:r>
      <w:r>
        <w:tab/>
      </w:r>
    </w:p>
    <w:p w:rsidR="00622C1F" w:rsidRDefault="00622C1F" w:rsidP="00622C1F">
      <w:pPr>
        <w:pStyle w:val="NoSpacing"/>
        <w:jc w:val="center"/>
      </w:pPr>
      <w:r>
        <w:t>Члан 8.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Јединица локалне самоуправе  може утврдити комуналне таксе у различитој висини зависно од врсте делатности , површине и техничко – употребних објеката , величине правног лица у смислу закона којим се уређује рачуноводство , зависно где се налазе објекти , предмети или врше услуге за које се плаћа такса.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9.</w:t>
      </w:r>
    </w:p>
    <w:p w:rsidR="00622C1F" w:rsidRDefault="00622C1F" w:rsidP="00622C1F">
      <w:pPr>
        <w:pStyle w:val="NoSpacing"/>
        <w:jc w:val="both"/>
      </w:pPr>
      <w:r>
        <w:tab/>
      </w:r>
      <w:r>
        <w:tab/>
      </w:r>
    </w:p>
    <w:p w:rsidR="00622C1F" w:rsidRDefault="00622C1F" w:rsidP="00622C1F">
      <w:pPr>
        <w:pStyle w:val="NoSpacing"/>
        <w:jc w:val="both"/>
      </w:pPr>
      <w:r>
        <w:tab/>
        <w:t>Уплата прихода од локалних комуналних такси врши се на одговарајуће рачуне код Одељења за буџет и финансије.</w:t>
      </w:r>
    </w:p>
    <w:p w:rsidR="00622C1F" w:rsidRDefault="00622C1F" w:rsidP="00622C1F">
      <w:pPr>
        <w:pStyle w:val="NoSpacing"/>
        <w:jc w:val="both"/>
      </w:pPr>
      <w:r>
        <w:tab/>
        <w:t>Наплата локалне комуналне таксе вршиће се како је предвиђено у одговарајућем члану Одлуке.</w:t>
      </w:r>
    </w:p>
    <w:p w:rsidR="00622C1F" w:rsidRDefault="00622C1F" w:rsidP="00622C1F">
      <w:pPr>
        <w:pStyle w:val="NoSpacing"/>
        <w:jc w:val="both"/>
      </w:pPr>
      <w:r>
        <w:tab/>
        <w:t>У погледу начина утврђивања локалне комуналне таксе, обрачунавања , застарелости , наплате , рокова за плаћање , обрачуна камате и осталог , примењују се одредбе важећих Закона.</w:t>
      </w:r>
    </w:p>
    <w:p w:rsidR="00622C1F" w:rsidRDefault="00622C1F" w:rsidP="00622C1F">
      <w:pPr>
        <w:pStyle w:val="NoSpacing"/>
        <w:jc w:val="both"/>
      </w:pPr>
    </w:p>
    <w:p w:rsidR="00355A23" w:rsidRDefault="00355A23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</w:pPr>
      <w:r>
        <w:t>Члан 10.</w:t>
      </w:r>
    </w:p>
    <w:p w:rsidR="00355A23" w:rsidRDefault="00355A23" w:rsidP="00622C1F">
      <w:pPr>
        <w:pStyle w:val="NoSpacing"/>
        <w:jc w:val="center"/>
      </w:pP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Обвезници локалне комуналне таксе које се наплаћују у годишњем износу из члана 5. тачка 1) ове Одлуке-  Истицање фирме на пословном простору ,дужни су да поднесу пријаву за утврђивање обавезе по основу комуналне таксе  надлежном органу , најкасније до 15. марта у години у којој се врши утврђивање таксе , односно у року од 15 дана од дана почетка коришћења права , предмета и услуга за које је уведена  локална комунална такса.</w:t>
      </w:r>
    </w:p>
    <w:p w:rsidR="00622C1F" w:rsidRDefault="00622C1F" w:rsidP="00622C1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Обвезник  локалне комуналне таксе дужан је да сваку насталу промену пријави надлежном органу у року од 15 дана од дана настанка промене.</w:t>
      </w:r>
    </w:p>
    <w:p w:rsidR="00622C1F" w:rsidRDefault="00622C1F" w:rsidP="00622C1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Такса која се утврђује у годишњем износу плаћа се месечно  до 15 – ог у месецу за претходни месец .</w:t>
      </w:r>
    </w:p>
    <w:p w:rsidR="00622C1F" w:rsidRDefault="00622C1F" w:rsidP="00622C1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Саставни део Одлуке је образац пореске пријаве за утврђивање комуналне таксе ПП - КТ, коју су обвезници дужни попунити са свим траженим подацима наведеним  у истој.</w:t>
      </w:r>
    </w:p>
    <w:p w:rsidR="00622C1F" w:rsidRDefault="00622C1F" w:rsidP="00622C1F">
      <w:pPr>
        <w:jc w:val="both"/>
      </w:pPr>
    </w:p>
    <w:p w:rsidR="00622C1F" w:rsidRDefault="00622C1F" w:rsidP="00622C1F">
      <w:pPr>
        <w:pStyle w:val="NoSpacing"/>
        <w:jc w:val="both"/>
      </w:pPr>
    </w:p>
    <w:p w:rsidR="00355A23" w:rsidRDefault="00355A23" w:rsidP="00622C1F">
      <w:pPr>
        <w:pStyle w:val="NoSpacing"/>
        <w:jc w:val="both"/>
      </w:pPr>
    </w:p>
    <w:p w:rsidR="00622C1F" w:rsidRDefault="00B67072" w:rsidP="00622C1F">
      <w:pPr>
        <w:pStyle w:val="NoSpacing"/>
        <w:jc w:val="center"/>
      </w:pPr>
      <w:r>
        <w:t>Члан 11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  <w:t>Саставни део ове Одлуке представља Таксена тарифа, утврђена за поједина права, предмете и услуге.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  <w:rPr>
          <w:b/>
        </w:rPr>
      </w:pPr>
      <w:r>
        <w:rPr>
          <w:b/>
        </w:rPr>
        <w:t>ТАКСЕНА ТАРИФА</w:t>
      </w:r>
    </w:p>
    <w:p w:rsidR="00622C1F" w:rsidRDefault="00622C1F" w:rsidP="00622C1F">
      <w:pPr>
        <w:pStyle w:val="NoSpacing"/>
        <w:jc w:val="both"/>
        <w:rPr>
          <w:b/>
        </w:rPr>
      </w:pPr>
    </w:p>
    <w:p w:rsidR="00622C1F" w:rsidRDefault="00622C1F" w:rsidP="00622C1F">
      <w:pPr>
        <w:pStyle w:val="NoSpacing"/>
        <w:jc w:val="center"/>
        <w:rPr>
          <w:b/>
        </w:rPr>
      </w:pPr>
      <w:r>
        <w:rPr>
          <w:b/>
        </w:rPr>
        <w:t>Тарифни број 1.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tab/>
      </w:r>
      <w:r>
        <w:tab/>
        <w:t xml:space="preserve">Предузетници и правна лица која су према Закону којим се уређује рачуноводство разврстана у мала правна лица ( осим предузетника и правних лица која обављају делатност : банкарства ; осигурања имовине и лица ; производње и трговине нафтом и дериватима нафте ; производње и трговине на велико дуванским производима , производње цемента ; поштанских , мобилних и телефонских услуга ; електропривреде ; казина , коцкарница , кладионица , бинго сала и пружања коцкарских услуга и ноћних барова и дискотека ) , а имају годишњи приход  до 50.000.000 динара , не плаћају локалну комуналну таксу за истицање фирме на пословном простору ( даљем тексту : фирмарина ) .  </w:t>
      </w:r>
    </w:p>
    <w:p w:rsidR="00622C1F" w:rsidRDefault="00622C1F" w:rsidP="00622C1F">
      <w:pPr>
        <w:pStyle w:val="NoSpacing"/>
        <w:jc w:val="both"/>
      </w:pPr>
      <w:r>
        <w:tab/>
      </w:r>
    </w:p>
    <w:p w:rsidR="00622C1F" w:rsidRDefault="00622C1F" w:rsidP="00622C1F">
      <w:pPr>
        <w:pStyle w:val="NoSpacing"/>
        <w:jc w:val="both"/>
      </w:pPr>
      <w:r>
        <w:tab/>
        <w:t xml:space="preserve">Правна лица која су према закону којим се уређује рачуноводство разврстана у средња правна лица ,велика правна лица  као и предузетници и мала правна лица која имају приход преко 50.000.000 динара ( осим предузетника и правних лица која која обављају делатности : банкарства ; осигурања имовине и лица ; производње и трговине нафтом и дериватима нафте ; производње и трговине на велико дуванским производима , производње цемента ; поштанских , мобилних и телефонских услуга ; електропривреде ; казина , коцкарница , кладионица , бинго сала и пружања коцкарских услуга и ноћних барова и дискотека ), фирмарину плаћају на годишњем  нивоу највише до две </w:t>
      </w:r>
      <w:r w:rsidR="003C653F">
        <w:t xml:space="preserve">просечне зараде ( до 164.292 </w:t>
      </w:r>
      <w:r>
        <w:t>динара ) ,  и то  у износу од  :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ind w:left="1068"/>
        <w:jc w:val="both"/>
      </w:pPr>
      <w:r>
        <w:t>I За средња правна лица</w:t>
      </w:r>
    </w:p>
    <w:p w:rsidR="00622C1F" w:rsidRDefault="00622C1F" w:rsidP="00622C1F">
      <w:pPr>
        <w:pStyle w:val="NoSpacing"/>
        <w:ind w:left="1068"/>
        <w:jc w:val="both"/>
      </w:pP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 xml:space="preserve">За средња правна лица  на територији КО  Лајковац у износу </w:t>
      </w:r>
      <w:r w:rsidR="007F77D8">
        <w:t>од 27.711</w:t>
      </w:r>
      <w:r w:rsidR="003C653F">
        <w:t xml:space="preserve">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>За средња правна лица  на територији сеоских насеља опш</w:t>
      </w:r>
      <w:r w:rsidR="007F77D8">
        <w:t>тине Лајковац у износу од 22.164</w:t>
      </w:r>
      <w:r w:rsidR="003C653F">
        <w:t xml:space="preserve">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ind w:left="1068"/>
        <w:jc w:val="both"/>
      </w:pPr>
      <w:r>
        <w:t xml:space="preserve">II За предузетнике </w:t>
      </w:r>
    </w:p>
    <w:p w:rsidR="00622C1F" w:rsidRDefault="00622C1F" w:rsidP="00622C1F">
      <w:pPr>
        <w:pStyle w:val="NoSpacing"/>
        <w:ind w:left="1068"/>
        <w:jc w:val="both"/>
      </w:pP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 xml:space="preserve">За предузетнике на територији  КО Лајковац </w:t>
      </w:r>
      <w:r w:rsidR="00191F60">
        <w:t>у изно</w:t>
      </w:r>
      <w:r w:rsidR="003C653F">
        <w:t xml:space="preserve">су од 15.052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>За предузетнике сеоских насеља опш</w:t>
      </w:r>
      <w:r w:rsidR="00191F60">
        <w:t>тине Лајковац у износу од  9.975</w:t>
      </w:r>
      <w:r>
        <w:t xml:space="preserve"> динара по истакнутој фирми на пословном простору;</w:t>
      </w:r>
    </w:p>
    <w:p w:rsidR="00622C1F" w:rsidRDefault="00622C1F" w:rsidP="00622C1F">
      <w:pPr>
        <w:pStyle w:val="NoSpacing"/>
        <w:ind w:left="1068"/>
        <w:jc w:val="both"/>
      </w:pPr>
    </w:p>
    <w:p w:rsidR="00622C1F" w:rsidRDefault="00622C1F" w:rsidP="00622C1F">
      <w:pPr>
        <w:pStyle w:val="NoSpacing"/>
        <w:ind w:left="1068"/>
        <w:jc w:val="both"/>
      </w:pPr>
      <w:r>
        <w:t xml:space="preserve">III За мала правна лица </w:t>
      </w:r>
    </w:p>
    <w:p w:rsidR="00622C1F" w:rsidRDefault="00622C1F" w:rsidP="00622C1F">
      <w:pPr>
        <w:pStyle w:val="NoSpacing"/>
        <w:ind w:left="1068"/>
        <w:jc w:val="both"/>
      </w:pP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>За мала правна лица  на територији КО Лајко</w:t>
      </w:r>
      <w:r w:rsidR="003C653F">
        <w:t xml:space="preserve">вац  у износу од 24.378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>За мала правна лица  на територији сеоских насеља општ</w:t>
      </w:r>
      <w:r w:rsidR="00145E0F">
        <w:t>ине Лајковац  у износу од 19.950</w:t>
      </w:r>
      <w:r w:rsidR="003C653F">
        <w:t xml:space="preserve">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  <w:r>
        <w:lastRenderedPageBreak/>
        <w:tab/>
        <w:t>Правна лица која су према закону којим се уређује рачуноводство разврстана у велика  правна лица ( осим предузетника и правних лица која која обављају делатности : банкарства ; осигурања имовине и лица ; производње и трговине нафтом и дериватима нафте ; производње и трговине на велико дуванским производима , производње цемента ; поштанских , мобилних и телефонских услуга ; електропривреде ; казина , коцкарница , кладионица , бинго сала и пружања коцкарских услуга и ноћних барова и дискотека ), фирмарину плаћају на годишњем  нивоу највише до три  просечне за</w:t>
      </w:r>
      <w:r w:rsidR="003C653F">
        <w:t>раде ( 246.438</w:t>
      </w:r>
      <w:r>
        <w:t xml:space="preserve"> )  и то у износу од :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ind w:left="1068" w:firstLine="348"/>
        <w:jc w:val="both"/>
      </w:pPr>
    </w:p>
    <w:p w:rsidR="00622C1F" w:rsidRDefault="00622C1F" w:rsidP="00622C1F">
      <w:pPr>
        <w:pStyle w:val="NoSpacing"/>
        <w:ind w:left="1068" w:firstLine="348"/>
        <w:jc w:val="both"/>
      </w:pPr>
      <w:r>
        <w:t xml:space="preserve">За велика правна лица 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 xml:space="preserve">За велика правна лица на територији </w:t>
      </w:r>
      <w:r w:rsidR="003C653F">
        <w:t xml:space="preserve">КО  Лајковац  у износу од 38.782 </w:t>
      </w:r>
      <w:r>
        <w:t xml:space="preserve"> по истакнутој фирми на пословном простору;</w:t>
      </w:r>
    </w:p>
    <w:p w:rsidR="00622C1F" w:rsidRDefault="00622C1F" w:rsidP="00622C1F">
      <w:pPr>
        <w:pStyle w:val="NoSpacing"/>
        <w:numPr>
          <w:ilvl w:val="0"/>
          <w:numId w:val="2"/>
        </w:numPr>
        <w:jc w:val="both"/>
      </w:pPr>
      <w:r>
        <w:t>За велика  правна лица  на територији  сеоских насеља општине Лајковац у из</w:t>
      </w:r>
      <w:r w:rsidR="003C653F">
        <w:t xml:space="preserve">носу од 33.246 </w:t>
      </w:r>
      <w:r>
        <w:t xml:space="preserve"> по истакнутој фирми на пословном простору.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tabs>
          <w:tab w:val="left" w:pos="0"/>
        </w:tabs>
        <w:jc w:val="both"/>
      </w:pPr>
      <w:r>
        <w:tab/>
        <w:t>Новчани износи одређени у ставу 2. и 3. овог члана су у висини износа законом одређених  просечних зарада , исти се годишње имају усклађивати са стопом  пројектоване инфлације предвиђене Упутством  за припрему буџета општине Лајковац.</w:t>
      </w:r>
    </w:p>
    <w:p w:rsidR="00622C1F" w:rsidRDefault="00622C1F" w:rsidP="00622C1F">
      <w:pPr>
        <w:pStyle w:val="NoSpacing"/>
        <w:tabs>
          <w:tab w:val="left" w:pos="0"/>
        </w:tabs>
        <w:jc w:val="both"/>
      </w:pPr>
    </w:p>
    <w:p w:rsidR="00622C1F" w:rsidRDefault="00622C1F" w:rsidP="00622C1F">
      <w:pPr>
        <w:pStyle w:val="NoSpacing"/>
        <w:tabs>
          <w:tab w:val="left" w:pos="0"/>
        </w:tabs>
        <w:jc w:val="both"/>
      </w:pPr>
      <w:r>
        <w:tab/>
        <w:t>Под просечном зарадом , сматра се просечна зарада по запосленом остварена на територији јединице локалне самоуправе  у периоду   јануар – август године која претходи години за коју се утврђује фирмарина , према подацима републичког органа надлежног за послове ст</w:t>
      </w:r>
      <w:r w:rsidR="003C653F">
        <w:t xml:space="preserve">атистике ( за јануар-август 2019  године износи 89.334 </w:t>
      </w:r>
      <w:r>
        <w:t>динара).</w:t>
      </w:r>
    </w:p>
    <w:p w:rsidR="00622C1F" w:rsidRDefault="00622C1F" w:rsidP="00622C1F">
      <w:pPr>
        <w:pStyle w:val="NoSpacing"/>
        <w:tabs>
          <w:tab w:val="left" w:pos="0"/>
        </w:tabs>
        <w:jc w:val="both"/>
      </w:pPr>
      <w:r>
        <w:tab/>
      </w:r>
      <w:r>
        <w:tab/>
      </w:r>
      <w:r>
        <w:tab/>
      </w:r>
    </w:p>
    <w:p w:rsidR="00622C1F" w:rsidRDefault="00622C1F" w:rsidP="00622C1F">
      <w:pPr>
        <w:pStyle w:val="NoSpacing"/>
        <w:jc w:val="both"/>
      </w:pPr>
      <w:r>
        <w:tab/>
        <w:t>Изузетно од става 3. овог члана   , јединица локалне самоуправе   може утврдити и већи износ фирмарине , уз претходну сагласност министарства надлежног за финансије.</w:t>
      </w: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both"/>
      </w:pPr>
    </w:p>
    <w:p w:rsidR="00622C1F" w:rsidRDefault="00622C1F" w:rsidP="00622C1F">
      <w:pPr>
        <w:pStyle w:val="NoSpacing"/>
        <w:jc w:val="center"/>
        <w:rPr>
          <w:b/>
        </w:rPr>
      </w:pPr>
      <w:r>
        <w:rPr>
          <w:b/>
        </w:rPr>
        <w:t>Тарифни број 2.</w:t>
      </w:r>
    </w:p>
    <w:p w:rsidR="00622C1F" w:rsidRDefault="00622C1F" w:rsidP="00622C1F">
      <w:pPr>
        <w:pStyle w:val="NoSpacing"/>
        <w:jc w:val="center"/>
        <w:rPr>
          <w:b/>
        </w:rPr>
      </w:pPr>
    </w:p>
    <w:p w:rsidR="00622C1F" w:rsidRDefault="00622C1F" w:rsidP="00622C1F">
      <w:pPr>
        <w:pStyle w:val="NoSpacing"/>
        <w:ind w:firstLine="708"/>
        <w:jc w:val="both"/>
      </w:pPr>
      <w:r>
        <w:t>Правна лица која су према Закону којим се уређује рачуноводство разврстана у велика , средња  мала правна лица , у смислу закона којим се уређује рачуноводство  и предузетници , а обављају делатности   банкарства  , осигурања имовине и лица ,  производње и трговине нафтом и дериватима нафте ,  производње и трговине на велико дуванским производима , производње цемента ,  поштанских , мобилних и телефонских услуга , електропривреде ,  казина , коцкарница , кладионица , бинго сала и пружања коцкарских услуга и ноћних барова и дискотека  , фирмарину плаћају на годишњем нивоу највише до десет п</w:t>
      </w:r>
      <w:r w:rsidR="003C653F">
        <w:t>росечних зарада ( највише до 893.334</w:t>
      </w:r>
      <w:r>
        <w:t xml:space="preserve"> динара )  разврстано по делатностима  сходно Уредби о класификацији делатности и то:</w:t>
      </w:r>
    </w:p>
    <w:p w:rsidR="00622C1F" w:rsidRDefault="00622C1F" w:rsidP="00622C1F">
      <w:pPr>
        <w:pStyle w:val="NoSpacing"/>
        <w:ind w:firstLine="708"/>
        <w:jc w:val="both"/>
      </w:pP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t xml:space="preserve">Делатности производње  и </w:t>
      </w:r>
      <w:r w:rsidRPr="00364F18">
        <w:rPr>
          <w:b/>
        </w:rPr>
        <w:t>трговине нафтом и дериватима нафте</w:t>
      </w:r>
      <w:r>
        <w:t xml:space="preserve"> плаћа</w:t>
      </w:r>
      <w:r w:rsidR="0089456E">
        <w:t xml:space="preserve">ју комуналну таксу  у износу  од </w:t>
      </w:r>
      <w:r>
        <w:t xml:space="preserve"> </w:t>
      </w:r>
      <w:r w:rsidRPr="00364F18">
        <w:rPr>
          <w:b/>
        </w:rPr>
        <w:t xml:space="preserve">пет </w:t>
      </w:r>
      <w:r>
        <w:t xml:space="preserve">  пр</w:t>
      </w:r>
      <w:r w:rsidR="003C653F">
        <w:t xml:space="preserve">осечних зарада  и то </w:t>
      </w:r>
      <w:r w:rsidR="003C653F" w:rsidRPr="00364F18">
        <w:rPr>
          <w:b/>
        </w:rPr>
        <w:t>:   446.670</w:t>
      </w:r>
      <w:r>
        <w:t xml:space="preserve">  динара за један истакнути назив ,  а за сваки наредни истакнути назив   износ комуналне таксе  умањује се за 50% ;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t>Делатности производње и трговине на велико дуванским производима , производње цемента ,  поштанских , мобилних и телефонских услуга , електропривреде , банкарства и осигурања имовине и лица  плаћа</w:t>
      </w:r>
      <w:r w:rsidR="00364F18">
        <w:t xml:space="preserve">ју комуналну таксу  у износу  од </w:t>
      </w:r>
      <w:r w:rsidRPr="00364F18">
        <w:rPr>
          <w:b/>
        </w:rPr>
        <w:t>четири</w:t>
      </w:r>
      <w:r>
        <w:t xml:space="preserve">   </w:t>
      </w:r>
      <w:r w:rsidR="00F76CE1">
        <w:t xml:space="preserve">просечних зарада и то :  </w:t>
      </w:r>
      <w:r w:rsidR="00F76CE1" w:rsidRPr="00364F18">
        <w:rPr>
          <w:b/>
        </w:rPr>
        <w:t>357.336</w:t>
      </w:r>
      <w:r w:rsidRPr="00364F18">
        <w:rPr>
          <w:b/>
        </w:rPr>
        <w:t xml:space="preserve"> динара</w:t>
      </w:r>
      <w:r>
        <w:t xml:space="preserve">  за један истакнути назив , а сваки наредни истакнути назив износ комуналне таксе  умањује се за 50% ;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lastRenderedPageBreak/>
        <w:t xml:space="preserve"> Делатности  казина , коцкарница , кладионица , бинго сала и пружања коцкарских услуга и ноћних барова и дискотека плаћ</w:t>
      </w:r>
      <w:r w:rsidR="00364F18">
        <w:t xml:space="preserve">ају комуналну таксу  у износу од </w:t>
      </w:r>
      <w:r>
        <w:t xml:space="preserve"> </w:t>
      </w:r>
      <w:r w:rsidRPr="00364F18">
        <w:rPr>
          <w:b/>
        </w:rPr>
        <w:t>две</w:t>
      </w:r>
      <w:r w:rsidR="00F76CE1" w:rsidRPr="00364F18">
        <w:rPr>
          <w:b/>
        </w:rPr>
        <w:t xml:space="preserve"> </w:t>
      </w:r>
      <w:r w:rsidR="00F76CE1">
        <w:t xml:space="preserve">просечне зараде  и то : </w:t>
      </w:r>
      <w:r w:rsidR="00F76CE1" w:rsidRPr="00364F18">
        <w:rPr>
          <w:b/>
        </w:rPr>
        <w:t>178.668</w:t>
      </w:r>
      <w:r>
        <w:t xml:space="preserve">  за један истакнути назив , а сваки наредни истакнути назив износ комуналне таксе  се умањује за 50% ;</w:t>
      </w:r>
    </w:p>
    <w:p w:rsidR="00622C1F" w:rsidRDefault="00622C1F" w:rsidP="00622C1F">
      <w:pPr>
        <w:pStyle w:val="NoSpacing"/>
        <w:numPr>
          <w:ilvl w:val="0"/>
          <w:numId w:val="3"/>
        </w:numPr>
        <w:ind w:left="1770"/>
        <w:jc w:val="both"/>
      </w:pPr>
      <w:r>
        <w:t>Под просечном зарадом , смислу става 1.овог тарифног броја , сматра се</w:t>
      </w:r>
    </w:p>
    <w:p w:rsidR="00622C1F" w:rsidRPr="00BD1A94" w:rsidRDefault="00622C1F" w:rsidP="00622C1F">
      <w:pPr>
        <w:pStyle w:val="NoSpacing"/>
        <w:jc w:val="both"/>
        <w:rPr>
          <w:b/>
        </w:rPr>
      </w:pPr>
      <w:r>
        <w:t xml:space="preserve"> просечна зарада по запосленом остварена на територији јединице локалне самоуправе  у периоду   јануар – август године која претходи години за коју се утврђује фирмарина , према подацима републичког органа надлежно</w:t>
      </w:r>
      <w:r w:rsidR="00F76CE1">
        <w:t xml:space="preserve">г за послове статистике ( </w:t>
      </w:r>
      <w:r w:rsidR="00F76CE1" w:rsidRPr="00BD1A94">
        <w:rPr>
          <w:b/>
        </w:rPr>
        <w:t xml:space="preserve">89.334 </w:t>
      </w:r>
      <w:r w:rsidRPr="00BD1A94">
        <w:rPr>
          <w:b/>
        </w:rPr>
        <w:t xml:space="preserve"> динар</w:t>
      </w:r>
      <w:r w:rsidR="00F76CE1" w:rsidRPr="00BD1A94">
        <w:rPr>
          <w:b/>
        </w:rPr>
        <w:t>а за јануар-август 2019</w:t>
      </w:r>
      <w:r w:rsidRPr="00BD1A94">
        <w:rPr>
          <w:b/>
        </w:rPr>
        <w:t xml:space="preserve"> ).</w:t>
      </w:r>
    </w:p>
    <w:p w:rsidR="00622C1F" w:rsidRDefault="00622C1F" w:rsidP="00622C1F">
      <w:pPr>
        <w:pStyle w:val="NoSpacing"/>
        <w:rPr>
          <w:b/>
        </w:rPr>
      </w:pPr>
    </w:p>
    <w:p w:rsidR="00622C1F" w:rsidRDefault="00622C1F" w:rsidP="00622C1F">
      <w:pPr>
        <w:pStyle w:val="NoSpacing"/>
        <w:jc w:val="center"/>
        <w:rPr>
          <w:b/>
        </w:rPr>
      </w:pPr>
      <w:r>
        <w:rPr>
          <w:b/>
        </w:rPr>
        <w:t>Тарифни број 3.</w:t>
      </w:r>
    </w:p>
    <w:p w:rsidR="00622C1F" w:rsidRDefault="00622C1F" w:rsidP="00622C1F">
      <w:pPr>
        <w:pStyle w:val="NoSpacing"/>
        <w:jc w:val="both"/>
        <w:rPr>
          <w:b/>
        </w:rPr>
      </w:pPr>
    </w:p>
    <w:p w:rsidR="00622C1F" w:rsidRDefault="00622C1F" w:rsidP="00622C1F">
      <w:pPr>
        <w:pStyle w:val="NoSpacing"/>
        <w:jc w:val="both"/>
      </w:pPr>
      <w:r>
        <w:tab/>
      </w:r>
      <w:r>
        <w:tab/>
      </w:r>
    </w:p>
    <w:p w:rsidR="00622C1F" w:rsidRDefault="00622C1F" w:rsidP="00622C1F">
      <w:pPr>
        <w:ind w:firstLine="705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 w:cs="Arial"/>
          <w:sz w:val="22"/>
          <w:szCs w:val="22"/>
          <w:lang w:val="sr-Cyrl-CS"/>
        </w:rPr>
        <w:t>Локална комунална такса за држање моторних друмских и прикључних возила, осим пољопривредних возила и машина , која се плаћа  годишње приликом регистрације возила утврђује се у износима и то:</w:t>
      </w:r>
    </w:p>
    <w:p w:rsidR="00622C1F" w:rsidRDefault="00622C1F" w:rsidP="00622C1F">
      <w:pPr>
        <w:ind w:firstLine="705"/>
        <w:jc w:val="both"/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ind w:firstLine="705"/>
        <w:jc w:val="both"/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ТЕРЕТНА ВОЗИЛА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622C1F" w:rsidRDefault="00622C1F" w:rsidP="00622C1F">
      <w:pPr>
        <w:pStyle w:val="NoSpacing"/>
        <w:jc w:val="both"/>
      </w:pPr>
      <w:r>
        <w:rPr>
          <w:lang w:val="sr-Cyrl-CS"/>
        </w:rPr>
        <w:t xml:space="preserve">-     за </w:t>
      </w:r>
      <w:r>
        <w:t>камионе до 2  т  носивости                                                                                               1.730</w:t>
      </w:r>
      <w:r>
        <w:rPr>
          <w:lang w:val="sr-Cyrl-CS"/>
        </w:rPr>
        <w:t xml:space="preserve"> дин.</w:t>
      </w:r>
    </w:p>
    <w:p w:rsidR="00622C1F" w:rsidRDefault="00622C1F" w:rsidP="00622C1F">
      <w:pPr>
        <w:pStyle w:val="NoSpacing"/>
        <w:rPr>
          <w:lang w:val="sr-Cyrl-CS"/>
        </w:rPr>
      </w:pPr>
      <w:r>
        <w:rPr>
          <w:lang w:val="sr-Cyrl-CS"/>
        </w:rPr>
        <w:t>-    за</w:t>
      </w:r>
      <w:r>
        <w:t xml:space="preserve">  камионе    од  2  т  до 5 т  носивости                                                                               2.300  дин.                       </w:t>
      </w:r>
    </w:p>
    <w:p w:rsidR="00622C1F" w:rsidRDefault="00622C1F" w:rsidP="00622C1F">
      <w:pPr>
        <w:pStyle w:val="NoSpacing"/>
        <w:rPr>
          <w:lang w:val="sr-Cyrl-CS"/>
        </w:rPr>
      </w:pPr>
      <w:r>
        <w:rPr>
          <w:lang w:val="sr-Cyrl-CS"/>
        </w:rPr>
        <w:t xml:space="preserve">-    за камионе   </w:t>
      </w:r>
      <w:r>
        <w:t xml:space="preserve">од  5 т  до 12  т  носивости                                                                               4.020  дин.                        </w:t>
      </w:r>
      <w:r>
        <w:rPr>
          <w:lang w:val="sr-Cyrl-CS"/>
        </w:rPr>
        <w:t xml:space="preserve">-     за </w:t>
      </w:r>
      <w:r>
        <w:t xml:space="preserve">камионе преко 12  т  носивости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5.740 дин.                      </w:t>
      </w:r>
      <w:r>
        <w:rPr>
          <w:lang w:val="sr-Cyrl-CS"/>
        </w:rPr>
        <w:tab/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:rsidR="00622C1F" w:rsidRDefault="00622C1F" w:rsidP="00622C1F">
      <w:pPr>
        <w:pStyle w:val="NoSpacing"/>
        <w:numPr>
          <w:ilvl w:val="0"/>
          <w:numId w:val="4"/>
        </w:numPr>
        <w:jc w:val="both"/>
        <w:rPr>
          <w:lang w:val="sr-Cyrl-CS"/>
        </w:rPr>
      </w:pPr>
      <w:r>
        <w:rPr>
          <w:u w:val="single"/>
          <w:lang w:val="sr-Cyrl-CS"/>
        </w:rPr>
        <w:t>ЗА ТЕРЕТНЕ И РАДНЕ ПРИКОЛИЦЕ</w:t>
      </w:r>
      <w:r>
        <w:rPr>
          <w:lang w:val="sr-Cyrl-CS"/>
        </w:rPr>
        <w:t xml:space="preserve"> ( за путничке аутом</w:t>
      </w:r>
      <w:r w:rsidR="004C3420">
        <w:rPr>
          <w:lang w:val="sr-Cyrl-CS"/>
        </w:rPr>
        <w:t xml:space="preserve">обиле ) </w:t>
      </w:r>
      <w:r w:rsidR="004C3420">
        <w:rPr>
          <w:lang w:val="sr-Cyrl-CS"/>
        </w:rPr>
        <w:tab/>
        <w:t xml:space="preserve">                 570</w:t>
      </w:r>
      <w:r w:rsidR="004C3420">
        <w:t xml:space="preserve"> </w:t>
      </w:r>
      <w:r>
        <w:rPr>
          <w:lang w:val="sr-Cyrl-CS"/>
        </w:rPr>
        <w:t xml:space="preserve"> дин.                                                                              </w:t>
      </w:r>
    </w:p>
    <w:p w:rsidR="00622C1F" w:rsidRDefault="00622C1F" w:rsidP="00622C1F">
      <w:pPr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ПУТНИЧКА ВОЗИЛА: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</w:p>
    <w:p w:rsidR="00622C1F" w:rsidRDefault="00622C1F" w:rsidP="00622C1F">
      <w:pPr>
        <w:pStyle w:val="NoSpacing"/>
      </w:pPr>
      <w:r>
        <w:rPr>
          <w:lang w:val="sr-Cyrl-CS"/>
        </w:rPr>
        <w:t xml:space="preserve">-    до 1.150 </w:t>
      </w:r>
      <w:r>
        <w:t>cm</w:t>
      </w:r>
      <w:r>
        <w:rPr>
          <w:vertAlign w:val="superscript"/>
        </w:rPr>
        <w:t>3</w:t>
      </w:r>
      <w:r>
        <w:t xml:space="preserve">570 дин.   -    --     преко </w:t>
      </w:r>
      <w:r>
        <w:rPr>
          <w:lang w:val="sr-Cyrl-CS"/>
        </w:rPr>
        <w:t xml:space="preserve">1.150 </w:t>
      </w:r>
      <w:r>
        <w:t>cm</w:t>
      </w:r>
      <w:r>
        <w:rPr>
          <w:vertAlign w:val="superscript"/>
        </w:rPr>
        <w:t>3</w:t>
      </w:r>
      <w:r>
        <w:t>до 1.300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1.140 дин.                    -   преко 1.300 cm</w:t>
      </w:r>
      <w:r>
        <w:rPr>
          <w:vertAlign w:val="superscript"/>
        </w:rPr>
        <w:t>3</w:t>
      </w:r>
      <w:r>
        <w:t xml:space="preserve">  до 1.600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1.720 дин.                    -    преко 1.600 cm</w:t>
      </w:r>
      <w:r>
        <w:rPr>
          <w:vertAlign w:val="superscript"/>
        </w:rPr>
        <w:t>3</w:t>
      </w:r>
      <w:r>
        <w:t xml:space="preserve">  до  2.000 cm</w:t>
      </w:r>
      <w:r>
        <w:rPr>
          <w:vertAlign w:val="superscript"/>
        </w:rPr>
        <w:t>3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                     2.300 дин.                    -    преко 2000 </w:t>
      </w:r>
      <w:r>
        <w:t>cm</w:t>
      </w:r>
      <w:r>
        <w:rPr>
          <w:vertAlign w:val="superscript"/>
        </w:rPr>
        <w:t>3</w:t>
      </w:r>
      <w:r>
        <w:rPr>
          <w:lang w:val="sr-Cyrl-CS"/>
        </w:rPr>
        <w:t xml:space="preserve">  до  3.000 </w:t>
      </w:r>
      <w:r>
        <w:t>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3.470 дин.                      -    преко 3.000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                        5.740 дин.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22C1F" w:rsidRDefault="00622C1F" w:rsidP="00622C1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МОТОЦИКЛЕ</w:t>
      </w:r>
    </w:p>
    <w:p w:rsidR="00622C1F" w:rsidRDefault="00622C1F" w:rsidP="00622C1F">
      <w:pPr>
        <w:pStyle w:val="ListParagraph"/>
        <w:ind w:left="1065"/>
        <w:jc w:val="both"/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pStyle w:val="ListParagraph"/>
        <w:ind w:left="1065"/>
        <w:jc w:val="both"/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pStyle w:val="NoSpacing"/>
      </w:pPr>
      <w:r>
        <w:rPr>
          <w:lang w:val="sr-Cyrl-CS"/>
        </w:rPr>
        <w:t xml:space="preserve"> -    до 125 </w:t>
      </w:r>
      <w:r>
        <w:t>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                                   460 дин.</w:t>
      </w:r>
    </w:p>
    <w:p w:rsidR="00622C1F" w:rsidRDefault="00622C1F" w:rsidP="00622C1F">
      <w:pPr>
        <w:pStyle w:val="NoSpacing"/>
      </w:pPr>
      <w:r>
        <w:rPr>
          <w:rFonts w:cs="Arial"/>
          <w:lang w:val="sr-Cyrl-CS"/>
        </w:rPr>
        <w:t xml:space="preserve"> -    преко 125 </w:t>
      </w:r>
      <w:r>
        <w:t>cm</w:t>
      </w:r>
      <w:r>
        <w:rPr>
          <w:vertAlign w:val="superscript"/>
        </w:rPr>
        <w:t>3</w:t>
      </w:r>
      <w:r>
        <w:rPr>
          <w:rFonts w:cs="Arial"/>
          <w:lang w:val="sr-Cyrl-CS"/>
        </w:rPr>
        <w:t>до 250</w:t>
      </w:r>
      <w:r>
        <w:t xml:space="preserve">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      680 дин.</w:t>
      </w:r>
      <w:r>
        <w:rPr>
          <w:rFonts w:cs="Arial"/>
          <w:lang w:val="sr-Cyrl-CS"/>
        </w:rPr>
        <w:t xml:space="preserve">     преко  250</w:t>
      </w:r>
      <w:r>
        <w:t xml:space="preserve"> cm</w:t>
      </w:r>
      <w:r>
        <w:rPr>
          <w:vertAlign w:val="superscript"/>
        </w:rPr>
        <w:t>3</w:t>
      </w:r>
      <w:r>
        <w:t xml:space="preserve">  до 500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        1.140 дин.                                                                                                     -    </w:t>
      </w:r>
      <w:r>
        <w:rPr>
          <w:rFonts w:cs="Arial"/>
          <w:lang w:val="sr-Cyrl-CS"/>
        </w:rPr>
        <w:t xml:space="preserve">преко  </w:t>
      </w:r>
      <w:r>
        <w:t>500 cm</w:t>
      </w:r>
      <w:r>
        <w:rPr>
          <w:vertAlign w:val="superscript"/>
        </w:rPr>
        <w:t>3</w:t>
      </w:r>
      <w:r>
        <w:t xml:space="preserve">  до 1.200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1.390 дин.                                                                                                      -    </w:t>
      </w:r>
      <w:r>
        <w:rPr>
          <w:rFonts w:cs="Arial"/>
          <w:lang w:val="sr-Cyrl-CS"/>
        </w:rPr>
        <w:t xml:space="preserve">преко  </w:t>
      </w:r>
      <w:r>
        <w:t>1.200 cm</w:t>
      </w:r>
      <w:r>
        <w:rPr>
          <w:vertAlign w:val="superscript"/>
        </w:rPr>
        <w:t>3</w:t>
      </w:r>
      <w:r>
        <w:t xml:space="preserve">                                                                                                                       1.720 дин.       </w:t>
      </w:r>
    </w:p>
    <w:p w:rsidR="00622C1F" w:rsidRDefault="00622C1F" w:rsidP="00622C1F">
      <w:pPr>
        <w:pStyle w:val="NoSpacing"/>
        <w:rPr>
          <w:rFonts w:cs="Arial"/>
        </w:rPr>
      </w:pP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</w:p>
    <w:p w:rsidR="00622C1F" w:rsidRDefault="00622C1F" w:rsidP="00622C1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АУТОБУСЕ:</w:t>
      </w:r>
    </w:p>
    <w:p w:rsidR="00622C1F" w:rsidRDefault="00622C1F" w:rsidP="00622C1F">
      <w:pPr>
        <w:pStyle w:val="ListParagraph"/>
        <w:ind w:left="1065"/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</w:p>
    <w:p w:rsidR="00622C1F" w:rsidRDefault="00622C1F" w:rsidP="00622C1F">
      <w:pPr>
        <w:pStyle w:val="NoSpacing"/>
        <w:jc w:val="both"/>
        <w:rPr>
          <w:lang w:val="sr-Cyrl-CS"/>
        </w:rPr>
      </w:pPr>
    </w:p>
    <w:p w:rsidR="00622C1F" w:rsidRPr="004C3420" w:rsidRDefault="00622C1F" w:rsidP="004C342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-        За  аутобусе и комби бусеве по регистрованом седишту                                                50 дин.</w:t>
      </w:r>
    </w:p>
    <w:p w:rsidR="00622C1F" w:rsidRDefault="00622C1F" w:rsidP="00622C1F">
      <w:pPr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622C1F" w:rsidRDefault="00622C1F" w:rsidP="00622C1F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ПРИКЉУЧНА ВОЗИЛА: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теретне приколице , полуприколице и специјалне</w:t>
      </w:r>
    </w:p>
    <w:p w:rsidR="00622C1F" w:rsidRDefault="00622C1F" w:rsidP="00622C1F">
      <w:pPr>
        <w:ind w:left="705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       теретне приколице за превоз одређених врста терета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-         1 т носивости         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460  дин.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-    од  1 т до 5 т носивости                                                                                                               800  дин.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-    од  5 т до 10 т носивости                                                                                                         1.090 дин.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-    од 10 т до 12 т носивости                                                                                                       1.500  дин.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-     носивости преко 12 т                                                                                                              2.300  дин.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:rsidR="00622C1F" w:rsidRDefault="00622C1F" w:rsidP="00622C1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u w:val="single"/>
          <w:lang w:val="sr-Cyrl-CS"/>
        </w:rPr>
        <w:t>ЗА ВУЧНА ВОЗИЛА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( тегљаче )</w:t>
      </w:r>
    </w:p>
    <w:p w:rsidR="00622C1F" w:rsidRDefault="00622C1F" w:rsidP="00622C1F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:rsidR="00622C1F" w:rsidRDefault="00622C1F" w:rsidP="00622C1F">
      <w:pPr>
        <w:pStyle w:val="NoSpacing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чија је снага мотора до 66 киловата                                                                   1.720  дин.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чија је снага мотора  од  66 киловата до 96 киловата                                   2.300  дин.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чија је снага мотора  од  96 киловата   до 132 киловата                               2.900  дин.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чија је снага мотора  од  132  киловата  до 177 киловата                             3.470  дин.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чија је снага мотора  преко   177  киловата                                                      4.610  дин.</w:t>
      </w:r>
    </w:p>
    <w:p w:rsidR="00622C1F" w:rsidRDefault="00622C1F" w:rsidP="00622C1F">
      <w:pPr>
        <w:pStyle w:val="NoSpacing"/>
        <w:jc w:val="both"/>
        <w:rPr>
          <w:lang w:val="sr-Cyrl-CS"/>
        </w:rPr>
      </w:pPr>
    </w:p>
    <w:p w:rsidR="00622C1F" w:rsidRDefault="00622C1F" w:rsidP="00622C1F">
      <w:pPr>
        <w:pStyle w:val="NoSpacing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ЗА РАДНА ВОЗИЛА, СПЕЦИЈАЗОВАНА АДАПТИРАНА ВОЗИЛА ЗА</w:t>
      </w:r>
    </w:p>
    <w:p w:rsidR="00622C1F" w:rsidRDefault="00622C1F" w:rsidP="00622C1F">
      <w:pPr>
        <w:pStyle w:val="NoSpacing"/>
        <w:ind w:left="1065"/>
        <w:jc w:val="both"/>
        <w:rPr>
          <w:lang w:val="sr-Cyrl-CS"/>
        </w:rPr>
      </w:pPr>
      <w:r>
        <w:rPr>
          <w:lang w:val="sr-Cyrl-CS"/>
        </w:rPr>
        <w:t xml:space="preserve">ПРЕВОЗ РЕКВИЗИТА ЗА ПУТУЈЕЋЕ ЗАБАВЕ, РАДЊЕ И АТЕСТИРАНА </w:t>
      </w:r>
    </w:p>
    <w:p w:rsidR="00622C1F" w:rsidRDefault="00622C1F" w:rsidP="00622C1F">
      <w:pPr>
        <w:pStyle w:val="NoSpacing"/>
        <w:ind w:left="1065"/>
        <w:jc w:val="both"/>
        <w:rPr>
          <w:lang w:val="sr-Cyrl-CS"/>
        </w:rPr>
      </w:pPr>
      <w:r>
        <w:rPr>
          <w:lang w:val="sr-Cyrl-CS"/>
        </w:rPr>
        <w:t>СПЕЦИЈАЛИЗОВАНА ВОЗИЛА ЗА ПРЕВОЗ ПЧЕЛА                                             1.140  дин</w:t>
      </w:r>
    </w:p>
    <w:p w:rsidR="00622C1F" w:rsidRDefault="00622C1F" w:rsidP="00622C1F">
      <w:pPr>
        <w:pStyle w:val="NoSpacing"/>
        <w:ind w:left="1065"/>
        <w:jc w:val="both"/>
        <w:rPr>
          <w:lang w:val="sr-Cyrl-CS"/>
        </w:rPr>
      </w:pPr>
    </w:p>
    <w:p w:rsidR="00622C1F" w:rsidRDefault="00622C1F" w:rsidP="00622C1F">
      <w:pPr>
        <w:ind w:firstLine="708"/>
        <w:jc w:val="both"/>
        <w:rPr>
          <w:rFonts w:asciiTheme="minorHAnsi" w:hAnsiTheme="minorHAnsi" w:cs="Arial"/>
          <w:lang w:val="sr-Cyrl-CS"/>
        </w:rPr>
      </w:pPr>
    </w:p>
    <w:p w:rsidR="00622C1F" w:rsidRDefault="00622C1F" w:rsidP="00622C1F">
      <w:pPr>
        <w:ind w:firstLine="708"/>
        <w:jc w:val="both"/>
        <w:rPr>
          <w:rFonts w:asciiTheme="minorHAnsi" w:hAnsiTheme="minorHAnsi" w:cs="Arial"/>
          <w:lang w:val="sr-Cyrl-CS"/>
        </w:rPr>
      </w:pPr>
      <w:r>
        <w:rPr>
          <w:rFonts w:asciiTheme="minorHAnsi" w:hAnsiTheme="minorHAnsi" w:cs="Arial"/>
          <w:lang w:val="sr-Cyrl-CS"/>
        </w:rPr>
        <w:t>Локалну комуналну таксу по овом тарифном броју наплаћује надлежни орган ПС у Лајковцу , а  при регистровању возила.</w:t>
      </w:r>
    </w:p>
    <w:p w:rsidR="00622C1F" w:rsidRDefault="00622C1F" w:rsidP="00622C1F">
      <w:pPr>
        <w:pStyle w:val="NoSpacing"/>
        <w:rPr>
          <w:lang w:val="sr-Cyrl-CS"/>
        </w:rPr>
      </w:pPr>
    </w:p>
    <w:p w:rsidR="00622C1F" w:rsidRDefault="00622C1F" w:rsidP="00622C1F">
      <w:pPr>
        <w:jc w:val="both"/>
        <w:rPr>
          <w:rFonts w:asciiTheme="minorHAnsi" w:hAnsiTheme="minorHAnsi" w:cs="Arial"/>
          <w:lang w:val="sr-Cyrl-CS"/>
        </w:rPr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  <w:tabs>
          <w:tab w:val="left" w:pos="825"/>
        </w:tabs>
        <w:jc w:val="center"/>
        <w:rPr>
          <w:b/>
        </w:rPr>
      </w:pPr>
    </w:p>
    <w:p w:rsidR="00622C1F" w:rsidRDefault="00622C1F" w:rsidP="00622C1F">
      <w:pPr>
        <w:pStyle w:val="NoSpacing"/>
        <w:tabs>
          <w:tab w:val="left" w:pos="825"/>
        </w:tabs>
        <w:rPr>
          <w:b/>
        </w:rPr>
      </w:pPr>
    </w:p>
    <w:p w:rsidR="00622C1F" w:rsidRDefault="00622C1F" w:rsidP="00622C1F">
      <w:pPr>
        <w:pStyle w:val="NoSpacing"/>
        <w:tabs>
          <w:tab w:val="left" w:pos="825"/>
        </w:tabs>
        <w:jc w:val="center"/>
        <w:rPr>
          <w:b/>
        </w:rPr>
      </w:pPr>
      <w:r>
        <w:rPr>
          <w:b/>
        </w:rPr>
        <w:t>Тарифни  број 4.</w:t>
      </w: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  <w:r>
        <w:tab/>
      </w: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  <w:r>
        <w:t xml:space="preserve">                             Локална комунална  такса из чл.5. тачка 3) Држање средстава за игру ( „ забавне игре „ )утврђује се дневно и то : </w:t>
      </w: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</w:p>
    <w:p w:rsidR="00622C1F" w:rsidRDefault="00622C1F" w:rsidP="00622C1F">
      <w:pPr>
        <w:pStyle w:val="NoSpacing"/>
        <w:numPr>
          <w:ilvl w:val="0"/>
          <w:numId w:val="5"/>
        </w:numPr>
        <w:tabs>
          <w:tab w:val="left" w:pos="0"/>
          <w:tab w:val="left" w:pos="1418"/>
        </w:tabs>
        <w:jc w:val="both"/>
      </w:pPr>
      <w:r>
        <w:t>По апарату за забавне игре ( флипери</w:t>
      </w:r>
      <w:r w:rsidR="00A7498E">
        <w:t xml:space="preserve">, билијар , пикадо и слично ) 51 </w:t>
      </w:r>
      <w:r>
        <w:t xml:space="preserve">  динара ;</w:t>
      </w:r>
    </w:p>
    <w:p w:rsidR="00622C1F" w:rsidRDefault="00622C1F" w:rsidP="00622C1F">
      <w:pPr>
        <w:pStyle w:val="NoSpacing"/>
        <w:numPr>
          <w:ilvl w:val="0"/>
          <w:numId w:val="5"/>
        </w:numPr>
        <w:tabs>
          <w:tab w:val="left" w:pos="0"/>
          <w:tab w:val="left" w:pos="1418"/>
        </w:tabs>
        <w:jc w:val="both"/>
      </w:pPr>
      <w:r>
        <w:t>По   рачунару , симулатору , видеоаут</w:t>
      </w:r>
      <w:r w:rsidR="00A7498E">
        <w:t xml:space="preserve">омату  по групи до 5 рачунара 36 </w:t>
      </w:r>
      <w:r>
        <w:t xml:space="preserve">   динара.</w:t>
      </w: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  <w:r>
        <w:tab/>
        <w:t>Локалну комуналну таксу плаћа корисник простора у коме се држи ( приређује ) забавна игра, на основу одобрења надлежног органа Општинске управе, који један примерак одобрења доставља Одељењу за  буџет и финансије Општинске управе општине Лајковац, са следећим подацима:</w:t>
      </w:r>
    </w:p>
    <w:p w:rsidR="00622C1F" w:rsidRDefault="00622C1F" w:rsidP="00622C1F">
      <w:pPr>
        <w:pStyle w:val="NoSpacing"/>
        <w:numPr>
          <w:ilvl w:val="0"/>
          <w:numId w:val="5"/>
        </w:numPr>
        <w:jc w:val="both"/>
      </w:pPr>
      <w:r>
        <w:t>За правна лица : порески идентификациони број , матични број , текући рачун , тачна адреса седишта правног лица ;</w:t>
      </w:r>
    </w:p>
    <w:p w:rsidR="00622C1F" w:rsidRDefault="00622C1F" w:rsidP="00622C1F">
      <w:pPr>
        <w:pStyle w:val="NoSpacing"/>
        <w:numPr>
          <w:ilvl w:val="0"/>
          <w:numId w:val="5"/>
        </w:numPr>
        <w:jc w:val="both"/>
      </w:pPr>
      <w:r>
        <w:t>За физичка лица : порески идентификациони број , матични број , текући рачун , број личне карте и назив радње са тачном адресом.</w:t>
      </w:r>
    </w:p>
    <w:p w:rsidR="00622C1F" w:rsidRDefault="00622C1F" w:rsidP="00622C1F">
      <w:pPr>
        <w:pStyle w:val="NoSpacing"/>
        <w:ind w:left="1416"/>
        <w:jc w:val="both"/>
      </w:pPr>
      <w:r>
        <w:t>Ова такса плаћа се сразмерно времену коришћења до 15 – ог у месецу за претходни месец.</w:t>
      </w:r>
    </w:p>
    <w:p w:rsidR="00622C1F" w:rsidRDefault="00622C1F" w:rsidP="00622C1F">
      <w:pPr>
        <w:pStyle w:val="NoSpacing"/>
        <w:rPr>
          <w:b/>
        </w:rPr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  <w:r>
        <w:lastRenderedPageBreak/>
        <w:tab/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  <w:r>
        <w:t>ПРЕЛАЗНЕ И ЗАВРШНЕ ОДРЕДБЕ</w:t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</w:p>
    <w:p w:rsidR="00622C1F" w:rsidRDefault="00F70969" w:rsidP="00622C1F">
      <w:pPr>
        <w:pStyle w:val="NoSpacing"/>
        <w:tabs>
          <w:tab w:val="left" w:pos="0"/>
          <w:tab w:val="left" w:pos="142"/>
        </w:tabs>
        <w:jc w:val="center"/>
      </w:pPr>
      <w:r>
        <w:t>Члан 12</w:t>
      </w:r>
      <w:r w:rsidR="00622C1F">
        <w:t>.</w:t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  <w:r>
        <w:tab/>
      </w:r>
      <w:r>
        <w:tab/>
      </w:r>
      <w:r>
        <w:tab/>
      </w:r>
      <w:r>
        <w:tab/>
        <w:t>Ова Одлука ступа на снагу осмог дана  од дана доношења, исту објавити у Службеном гласнику општине Лајковац , и истом престаје да важи Одлука о локалним комуналним таксама ( „ Службени гл</w:t>
      </w:r>
      <w:r w:rsidR="009B2C96">
        <w:t>асник општине Лајковац „ , бр.3/2019</w:t>
      </w:r>
      <w:r>
        <w:t xml:space="preserve"> ) </w:t>
      </w:r>
      <w:r w:rsidR="00BD1A94">
        <w:t>, а примењиваће се од 01.01.20</w:t>
      </w:r>
      <w:r w:rsidR="009B2C96">
        <w:t>20</w:t>
      </w:r>
      <w:r>
        <w:t xml:space="preserve"> .године.</w:t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  <w:r>
        <w:t>СКУПШТИНА ОПШТИНЕ ЛАЈКОВАЦ</w:t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center"/>
      </w:pPr>
      <w:r>
        <w:t>Број :                        од                     2019. године</w:t>
      </w: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</w:p>
    <w:p w:rsidR="00622C1F" w:rsidRDefault="00622C1F" w:rsidP="00622C1F">
      <w:pPr>
        <w:pStyle w:val="NoSpacing"/>
        <w:tabs>
          <w:tab w:val="left" w:pos="0"/>
          <w:tab w:val="left" w:pos="142"/>
        </w:tabs>
        <w:jc w:val="both"/>
      </w:pPr>
    </w:p>
    <w:p w:rsidR="00622C1F" w:rsidRDefault="00622C1F" w:rsidP="00622C1F">
      <w:pPr>
        <w:pStyle w:val="NoSpacing"/>
      </w:pPr>
      <w:r>
        <w:t xml:space="preserve">       СЕКРЕТАР                                                                                                                      ПРЕДСЕДНИК</w:t>
      </w:r>
    </w:p>
    <w:p w:rsidR="00622C1F" w:rsidRDefault="00622C1F" w:rsidP="00622C1F">
      <w:pPr>
        <w:pStyle w:val="NoSpacing"/>
      </w:pPr>
      <w:r>
        <w:t>СКУПШТИНЕ ОПШТИНЕ</w:t>
      </w:r>
      <w:r>
        <w:tab/>
        <w:t xml:space="preserve">                                                                              СКУПШТИНЕ ОПШТИНЕ</w:t>
      </w:r>
    </w:p>
    <w:p w:rsidR="00622C1F" w:rsidRDefault="00622C1F" w:rsidP="00622C1F">
      <w:pPr>
        <w:pStyle w:val="NoSpacing"/>
        <w:tabs>
          <w:tab w:val="left" w:pos="6675"/>
        </w:tabs>
      </w:pPr>
      <w:r>
        <w:t xml:space="preserve">   Горан Илић                                                                                                               Јованка Гомилановић</w:t>
      </w:r>
    </w:p>
    <w:p w:rsidR="00622C1F" w:rsidRDefault="00622C1F" w:rsidP="00622C1F">
      <w:pPr>
        <w:rPr>
          <w:lang w:eastAsia="en-US"/>
        </w:rPr>
      </w:pPr>
    </w:p>
    <w:p w:rsidR="00622C1F" w:rsidRDefault="00622C1F" w:rsidP="00622C1F">
      <w:pPr>
        <w:rPr>
          <w:lang w:eastAsia="en-US"/>
        </w:rPr>
      </w:pPr>
    </w:p>
    <w:p w:rsidR="00622C1F" w:rsidRDefault="00622C1F" w:rsidP="00622C1F">
      <w:pPr>
        <w:rPr>
          <w:lang w:eastAsia="en-US"/>
        </w:rPr>
      </w:pPr>
    </w:p>
    <w:p w:rsidR="00622C1F" w:rsidRDefault="00622C1F" w:rsidP="00622C1F">
      <w:pPr>
        <w:rPr>
          <w:lang w:eastAsia="en-US"/>
        </w:rPr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9B2C96" w:rsidRDefault="009B2C96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  <w:jc w:val="center"/>
      </w:pPr>
      <w:r>
        <w:t xml:space="preserve">О б р а з л о ж е њ е </w:t>
      </w:r>
    </w:p>
    <w:p w:rsidR="00622C1F" w:rsidRDefault="00622C1F" w:rsidP="00622C1F">
      <w:pPr>
        <w:pStyle w:val="NoSpacing"/>
        <w:jc w:val="center"/>
      </w:pPr>
    </w:p>
    <w:p w:rsidR="00622C1F" w:rsidRDefault="00622C1F" w:rsidP="00622C1F">
      <w:pPr>
        <w:pStyle w:val="NoSpacing"/>
        <w:ind w:firstLine="708"/>
        <w:jc w:val="both"/>
      </w:pPr>
      <w:r>
        <w:rPr>
          <w:b/>
        </w:rPr>
        <w:t xml:space="preserve">Правни основ : </w:t>
      </w:r>
      <w:r>
        <w:t xml:space="preserve">Правни основ за доношење ове Одлуке </w:t>
      </w:r>
      <w:r>
        <w:rPr>
          <w:b/>
        </w:rPr>
        <w:t>садржан је</w:t>
      </w:r>
      <w:r>
        <w:t xml:space="preserve"> у члану  6,7,11, 12,13,15,  - 18 Закона о финансирању локалне самоуправе („ Службени гласник РС“, бр.62/2006,47/2011,93/2012 , 99/2013,125/2014,91/15,83/16..104/2016,96/2017, 95/2018), а посебно истичемо члан 15а који се примењује од 01.01.2013.године, који је усаглашен са чланом 7. Закона о безбедности саобраћаја на путевима ( „Службени гласник РС“,бр.41/09,53/10,101/11 и 32/13-одлука УС 55/2014,96/2015, 9/2016,- одлука УС,24/2018,41/2018,87/2018,) , односно са Усклађеним највишим износима локалне комуналне таксе за држање друмских и прикључних возила , осим пољопривредних возила и машина ( „ Службени гласник РС“ , 89/2018) , а све у складу са Законом о финансирању локалне самоуправе  ( члан 15в став 4 ).</w:t>
      </w:r>
    </w:p>
    <w:p w:rsidR="00622C1F" w:rsidRDefault="00622C1F" w:rsidP="00622C1F">
      <w:pPr>
        <w:pStyle w:val="NoSpacing"/>
        <w:ind w:firstLine="708"/>
        <w:jc w:val="both"/>
      </w:pPr>
    </w:p>
    <w:p w:rsidR="00622C1F" w:rsidRDefault="00622C1F" w:rsidP="00622C1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Чланом 15. Закона</w:t>
      </w:r>
      <w:r>
        <w:rPr>
          <w:rFonts w:asciiTheme="minorHAnsi" w:hAnsiTheme="minorHAnsi"/>
          <w:sz w:val="22"/>
          <w:szCs w:val="22"/>
        </w:rPr>
        <w:t xml:space="preserve"> о финансирању локалне самоуправе („ Службени гласник РС“, бр.62/2006,47/2011,93/2012 , 99/2013,125/2014,91/15,83/16..104/2016,96/2017</w:t>
      </w:r>
      <w:r>
        <w:rPr>
          <w:rFonts w:asciiTheme="minorHAnsi" w:hAnsiTheme="minorHAnsi"/>
          <w:b/>
          <w:sz w:val="22"/>
          <w:szCs w:val="22"/>
        </w:rPr>
        <w:t>А ПОСЕБНО 95/2018 ) – ЛОКАЛНЕ КОМУНАЛНЕ ТАКСЕ МОГУ СЕ ВОДИТИ ЗА</w:t>
      </w:r>
      <w:r>
        <w:rPr>
          <w:rFonts w:asciiTheme="minorHAnsi" w:hAnsiTheme="minorHAnsi"/>
          <w:sz w:val="22"/>
          <w:szCs w:val="22"/>
        </w:rPr>
        <w:t xml:space="preserve"> : </w:t>
      </w:r>
      <w:r>
        <w:rPr>
          <w:rFonts w:asciiTheme="minorHAnsi" w:hAnsiTheme="minorHAnsi"/>
          <w:b/>
          <w:sz w:val="22"/>
          <w:szCs w:val="22"/>
          <w:u w:val="single"/>
        </w:rPr>
        <w:t>1) истицање фирме на пословном простору; 2)држање моторних друмских и прикључних возила, осим пољопривредних возила и машина и 3) држање средстава за игру („ забавне игре“)</w:t>
      </w:r>
      <w:r w:rsidR="009E4D0A">
        <w:rPr>
          <w:rFonts w:asciiTheme="minorHAnsi" w:hAnsi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/>
          <w:b/>
          <w:sz w:val="22"/>
          <w:szCs w:val="22"/>
          <w:u w:val="single"/>
        </w:rPr>
        <w:t>,</w:t>
      </w:r>
      <w:r>
        <w:rPr>
          <w:rFonts w:asciiTheme="minorHAnsi" w:hAnsiTheme="minorHAnsi"/>
          <w:sz w:val="22"/>
          <w:szCs w:val="22"/>
          <w:u w:val="single"/>
        </w:rPr>
        <w:t>остали делови поменутог члана ( 2,9,14 и 16 престали да важе – а то су :</w:t>
      </w: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/>
          <w:sz w:val="22"/>
          <w:szCs w:val="22"/>
        </w:rPr>
        <w:t>Коришћење</w:t>
      </w:r>
      <w:r>
        <w:rPr>
          <w:rFonts w:asciiTheme="minorHAnsi" w:hAnsiTheme="minorHAnsi"/>
          <w:sz w:val="22"/>
          <w:szCs w:val="22"/>
        </w:rPr>
        <w:t xml:space="preserve"> рекламних паноа , укључујући и истицање и исписивање фирме ван пословног простора на објектима и просторима који припадају јединици локалне  самоуправе Лајковац ( коловози , тротоари , зелене површине , бандере и сл .) ;</w:t>
      </w:r>
      <w:r>
        <w:rPr>
          <w:rFonts w:asciiTheme="minorHAnsi" w:hAnsiTheme="minorHAnsi"/>
          <w:b/>
          <w:sz w:val="22"/>
          <w:szCs w:val="22"/>
        </w:rPr>
        <w:t xml:space="preserve">Коришћење </w:t>
      </w:r>
      <w:r>
        <w:rPr>
          <w:rFonts w:asciiTheme="minorHAnsi" w:hAnsiTheme="minorHAnsi"/>
          <w:sz w:val="22"/>
          <w:szCs w:val="22"/>
        </w:rPr>
        <w:t>простора на јавним површинама или испред пословних просторија у пословне сврхе , осим ради продаје штампе , књига и других публикација , производа старих и уметничких заната и домаће радиности ;</w:t>
      </w:r>
    </w:p>
    <w:p w:rsidR="00622C1F" w:rsidRDefault="00622C1F" w:rsidP="00622C1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Коришћење</w:t>
      </w:r>
      <w:r>
        <w:rPr>
          <w:rFonts w:asciiTheme="minorHAnsi" w:hAnsiTheme="minorHAnsi"/>
          <w:sz w:val="22"/>
          <w:szCs w:val="22"/>
        </w:rPr>
        <w:t xml:space="preserve"> слободних површина за кампове , постављање шатора или друге објекте привременог коришћења ;</w:t>
      </w:r>
    </w:p>
    <w:p w:rsidR="00622C1F" w:rsidRDefault="00622C1F" w:rsidP="00622C1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Заузеће</w:t>
      </w:r>
      <w:r>
        <w:rPr>
          <w:rFonts w:asciiTheme="minorHAnsi" w:hAnsiTheme="minorHAnsi"/>
          <w:sz w:val="22"/>
          <w:szCs w:val="22"/>
        </w:rPr>
        <w:t xml:space="preserve"> јавне површине грађевинским материјалом и за извођење грађевинских радова.</w:t>
      </w:r>
    </w:p>
    <w:p w:rsidR="00622C1F" w:rsidRDefault="00622C1F" w:rsidP="00622C1F">
      <w:pPr>
        <w:rPr>
          <w:rFonts w:asciiTheme="minorHAnsi" w:hAnsiTheme="minorHAnsi"/>
          <w:sz w:val="22"/>
          <w:szCs w:val="22"/>
        </w:rPr>
      </w:pPr>
    </w:p>
    <w:p w:rsidR="00622C1F" w:rsidRDefault="00622C1F" w:rsidP="00622C1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Члан 15б престао је да важи</w:t>
      </w:r>
      <w:r>
        <w:rPr>
          <w:rFonts w:asciiTheme="minorHAnsi" w:hAnsiTheme="minorHAnsi"/>
          <w:sz w:val="22"/>
          <w:szCs w:val="22"/>
        </w:rPr>
        <w:t xml:space="preserve"> , а односио се  на Локална комуналну  таксу  за коришћење рекламних паноа , укључујући и  истицање и исписивање фирме ван пословног простора на објектима и просторима који припадају јединици локалне самоуправе ( коловози , тротоари , зелене површине , бандере и сл. ) </w:t>
      </w:r>
    </w:p>
    <w:p w:rsidR="00622C1F" w:rsidRDefault="00622C1F" w:rsidP="00622C1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22C1F" w:rsidRDefault="00F21092" w:rsidP="00622C1F">
      <w:pPr>
        <w:pStyle w:val="NoSpacing"/>
        <w:ind w:firstLine="708"/>
        <w:jc w:val="both"/>
      </w:pPr>
      <w:r w:rsidRPr="00A84D1C">
        <w:rPr>
          <w:b/>
        </w:rPr>
        <w:t xml:space="preserve">Чланом 15 а Закона о финансирању локалне самоуправе </w:t>
      </w:r>
      <w:r w:rsidR="00622C1F" w:rsidRPr="00A84D1C">
        <w:rPr>
          <w:b/>
        </w:rPr>
        <w:t xml:space="preserve"> п</w:t>
      </w:r>
      <w:r w:rsidR="00622C1F">
        <w:rPr>
          <w:b/>
        </w:rPr>
        <w:t>редузетници и правна лица разврстана у мала правна лица</w:t>
      </w:r>
      <w:r w:rsidR="00622C1F">
        <w:t xml:space="preserve"> ( </w:t>
      </w:r>
      <w:r w:rsidR="00622C1F">
        <w:rPr>
          <w:b/>
        </w:rPr>
        <w:t>осим оних који обављају посебне делетности</w:t>
      </w:r>
      <w:r w:rsidR="00622C1F">
        <w:t xml:space="preserve"> : банкарства ; осигурања имовине и лица ; производње и трговине нафтом и дериватима нафте ; производње и трговине на велико дуванским производима , производње цемента ; поштанских , мобилних и телефонских услуга ; електропривреде ; казина , коцкарница , кладионица , бинго сала и пружања коцкарских услуга и ноћних барова и дискотека ) </w:t>
      </w:r>
      <w:r w:rsidR="00622C1F">
        <w:rPr>
          <w:b/>
        </w:rPr>
        <w:t xml:space="preserve">, а имају годишњи приход  до 50.000.000 динара , не плаћају локалну комуналну таксу за истицање фирме на пословном простору ( у  даљем тексту : фирмарина ) .  </w:t>
      </w:r>
    </w:p>
    <w:p w:rsidR="00622C1F" w:rsidRPr="00A84D1C" w:rsidRDefault="00622C1F" w:rsidP="00622C1F">
      <w:pPr>
        <w:pStyle w:val="NoSpacing"/>
        <w:ind w:firstLine="708"/>
        <w:jc w:val="both"/>
      </w:pPr>
      <w:r>
        <w:rPr>
          <w:b/>
        </w:rPr>
        <w:t>Правна лица</w:t>
      </w:r>
      <w:r>
        <w:t xml:space="preserve"> која су према закону којим се уређује рачуноводство </w:t>
      </w:r>
      <w:r>
        <w:rPr>
          <w:b/>
        </w:rPr>
        <w:t>разврстана у средња правна лица , као и предузетници и мала правна лица која имају приход преко 50.000.000 динара</w:t>
      </w:r>
      <w:r>
        <w:t xml:space="preserve"> ( осим предузетника и правних лица која обављају напред наведене посебне делатности делатности ), </w:t>
      </w:r>
      <w:r>
        <w:rPr>
          <w:b/>
        </w:rPr>
        <w:t>фирмарину плаћају на годишњем  нивоу највише до две просечне зараде</w:t>
      </w:r>
      <w:r w:rsidR="00A84D1C">
        <w:t xml:space="preserve"> ( </w:t>
      </w:r>
      <w:r>
        <w:t xml:space="preserve"> просек зараде по запосленом за општину Лајковац </w:t>
      </w:r>
      <w:r w:rsidRPr="00A84D1C">
        <w:rPr>
          <w:u w:val="single"/>
        </w:rPr>
        <w:t>за јануар-август 2018. године</w:t>
      </w:r>
      <w:r>
        <w:t xml:space="preserve"> према подацима Републичког завода за статистику Ваљево 01 Број:120-4/5 од 29.10.2018. године </w:t>
      </w:r>
      <w:r w:rsidRPr="00A84D1C">
        <w:rPr>
          <w:u w:val="single"/>
        </w:rPr>
        <w:t>износи</w:t>
      </w:r>
      <w:r w:rsidR="00A84D1C" w:rsidRPr="00A84D1C">
        <w:rPr>
          <w:u w:val="single"/>
        </w:rPr>
        <w:t xml:space="preserve">o је </w:t>
      </w:r>
      <w:r w:rsidRPr="00A84D1C">
        <w:rPr>
          <w:u w:val="single"/>
        </w:rPr>
        <w:t xml:space="preserve"> 82.146,00 динара</w:t>
      </w:r>
      <w:r w:rsidR="00A84D1C">
        <w:t xml:space="preserve"> , а </w:t>
      </w:r>
      <w:r w:rsidR="00A84D1C" w:rsidRPr="00A84D1C">
        <w:rPr>
          <w:b/>
        </w:rPr>
        <w:t>за период јануар август 2019 године</w:t>
      </w:r>
      <w:r w:rsidR="00A84D1C">
        <w:t xml:space="preserve">  </w:t>
      </w:r>
      <w:r w:rsidR="00A84D1C" w:rsidRPr="00A84D1C">
        <w:rPr>
          <w:b/>
        </w:rPr>
        <w:t xml:space="preserve">просек </w:t>
      </w:r>
      <w:r w:rsidR="00A84D1C">
        <w:t xml:space="preserve">за општину Лајковац </w:t>
      </w:r>
      <w:r w:rsidR="00A84D1C" w:rsidRPr="00A84D1C">
        <w:rPr>
          <w:b/>
        </w:rPr>
        <w:t>је 89.334 динара</w:t>
      </w:r>
      <w:r w:rsidR="00A84D1C">
        <w:t xml:space="preserve"> према Републичког завода за статистику Ваљево 01 Број:120-4/38  од 29.10.2019  а две зараде су 178.668 динара ).</w:t>
      </w:r>
    </w:p>
    <w:p w:rsidR="00622C1F" w:rsidRDefault="00622C1F" w:rsidP="00622C1F">
      <w:pPr>
        <w:pStyle w:val="NoSpacing"/>
        <w:ind w:firstLine="708"/>
        <w:jc w:val="both"/>
      </w:pPr>
    </w:p>
    <w:p w:rsidR="00622C1F" w:rsidRDefault="00622C1F" w:rsidP="00622C1F">
      <w:pPr>
        <w:pStyle w:val="NoSpacing"/>
        <w:ind w:firstLine="708"/>
        <w:jc w:val="both"/>
      </w:pPr>
      <w:r>
        <w:rPr>
          <w:b/>
          <w:u w:val="single"/>
        </w:rPr>
        <w:t>Имајући у виду циљ</w:t>
      </w:r>
      <w:r>
        <w:t xml:space="preserve"> утврђивања комуналне таксе, као и ценећи економску снагу обвезника , као и број пословних јединица , те чињеницу да су неке пословне јединице у Лајковцу издвојене јединице малих , средњих и великих правних  лица,  донешена  је  Одлука као у предлогу  у износима који су у оквиру законски прописаних.</w:t>
      </w:r>
    </w:p>
    <w:p w:rsidR="00622C1F" w:rsidRDefault="00622C1F" w:rsidP="00622C1F">
      <w:pPr>
        <w:pStyle w:val="NoSpacing"/>
        <w:jc w:val="both"/>
      </w:pPr>
      <w:r>
        <w:rPr>
          <w:b/>
        </w:rPr>
        <w:tab/>
      </w:r>
      <w:r>
        <w:rPr>
          <w:b/>
        </w:rPr>
        <w:tab/>
      </w:r>
    </w:p>
    <w:p w:rsidR="00622C1F" w:rsidRPr="00A84D1C" w:rsidRDefault="00622C1F" w:rsidP="00622C1F">
      <w:pPr>
        <w:pStyle w:val="NoSpacing"/>
        <w:jc w:val="both"/>
        <w:rPr>
          <w:b/>
        </w:rPr>
      </w:pPr>
      <w:r>
        <w:tab/>
      </w:r>
      <w:r>
        <w:tab/>
      </w:r>
      <w:r>
        <w:rPr>
          <w:b/>
        </w:rPr>
        <w:t xml:space="preserve">Правна лица </w:t>
      </w:r>
      <w:r>
        <w:t xml:space="preserve">која су према закону којим се уређује рачуноводство разврстана у </w:t>
      </w:r>
      <w:r>
        <w:rPr>
          <w:b/>
        </w:rPr>
        <w:t>велика  правна лица</w:t>
      </w:r>
      <w:r>
        <w:t xml:space="preserve"> ( осим предузетника и правних лица која  обављају напред наведене посебне делатности ), </w:t>
      </w:r>
      <w:r>
        <w:rPr>
          <w:b/>
        </w:rPr>
        <w:t xml:space="preserve">фирмарину плаћају на годишњем  нивоу највише до три  просечне зараде </w:t>
      </w:r>
      <w:r w:rsidR="00A84D1C">
        <w:t xml:space="preserve"> ( која за 2020. годину износи </w:t>
      </w:r>
      <w:r w:rsidR="00A84D1C" w:rsidRPr="00A84D1C">
        <w:rPr>
          <w:b/>
        </w:rPr>
        <w:t xml:space="preserve">до 268.000 </w:t>
      </w:r>
      <w:r w:rsidRPr="00A84D1C">
        <w:rPr>
          <w:b/>
        </w:rPr>
        <w:t>динара ).</w:t>
      </w:r>
    </w:p>
    <w:p w:rsidR="00622C1F" w:rsidRPr="00A84D1C" w:rsidRDefault="00622C1F" w:rsidP="00622C1F">
      <w:pPr>
        <w:pStyle w:val="NoSpacing"/>
        <w:jc w:val="both"/>
        <w:rPr>
          <w:b/>
        </w:rPr>
      </w:pPr>
      <w:r w:rsidRPr="00A84D1C">
        <w:rPr>
          <w:b/>
        </w:rPr>
        <w:tab/>
      </w:r>
      <w:r w:rsidRPr="00A84D1C">
        <w:rPr>
          <w:b/>
        </w:rPr>
        <w:tab/>
      </w:r>
    </w:p>
    <w:p w:rsidR="00622C1F" w:rsidRDefault="00622C1F" w:rsidP="00622C1F">
      <w:pPr>
        <w:pStyle w:val="NoSpacing"/>
        <w:ind w:firstLine="708"/>
        <w:jc w:val="both"/>
      </w:pPr>
      <w:r>
        <w:tab/>
      </w:r>
      <w:r>
        <w:rPr>
          <w:b/>
        </w:rPr>
        <w:t>Правна лица</w:t>
      </w:r>
      <w:r>
        <w:t xml:space="preserve"> која су према Закону којим се уређује рачуноводство </w:t>
      </w:r>
      <w:r>
        <w:rPr>
          <w:b/>
        </w:rPr>
        <w:t xml:space="preserve">разврстана у велика , средња  мала правна лица </w:t>
      </w:r>
      <w:r>
        <w:t xml:space="preserve">, у смислу закона којим се уређује рачуноводство  и предузетници </w:t>
      </w:r>
      <w:r>
        <w:rPr>
          <w:b/>
        </w:rPr>
        <w:t xml:space="preserve">, а обављају делатности   банкарства  , осигурања имовине и лица ,  производње и трговине нафтом и дериватима нафте ,  производње и трговине на велико дуванским производима , производње цемента ,  поштанских , мобилних и телефонских услуга , електропривреде ,  казина , коцкарница , кладионица , бинго сала и пружања коцкарских услуга и ноћних барова и дискотека  , </w:t>
      </w:r>
      <w:r>
        <w:rPr>
          <w:b/>
          <w:u w:val="single"/>
        </w:rPr>
        <w:t xml:space="preserve">фирмарину плаћају на годишњем нивоу највише до десет просечних зарада </w:t>
      </w:r>
      <w:r>
        <w:rPr>
          <w:b/>
        </w:rPr>
        <w:t xml:space="preserve">,  разврстано по делатностима  сходно Уредби о класификацији делатности </w:t>
      </w:r>
      <w:r>
        <w:t>( „ Службени г</w:t>
      </w:r>
      <w:r w:rsidR="00323AA6">
        <w:t xml:space="preserve">ласник РС“ ,бр.54/10 ) а за 2020 .годину </w:t>
      </w:r>
      <w:r w:rsidR="00323AA6" w:rsidRPr="00364F18">
        <w:rPr>
          <w:b/>
        </w:rPr>
        <w:t>до 893.340</w:t>
      </w:r>
      <w:r w:rsidR="00323AA6">
        <w:t xml:space="preserve"> </w:t>
      </w:r>
      <w:r>
        <w:t xml:space="preserve"> динара и то:</w:t>
      </w:r>
    </w:p>
    <w:p w:rsidR="00622C1F" w:rsidRDefault="00622C1F" w:rsidP="00622C1F">
      <w:pPr>
        <w:pStyle w:val="NoSpacing"/>
        <w:ind w:firstLine="708"/>
        <w:jc w:val="both"/>
      </w:pP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t xml:space="preserve">Делатности производње  и трговине </w:t>
      </w:r>
      <w:r>
        <w:rPr>
          <w:b/>
        </w:rPr>
        <w:t>нафтом и дериватима нафте</w:t>
      </w:r>
      <w:r>
        <w:t xml:space="preserve"> плаћају </w:t>
      </w:r>
      <w:r>
        <w:rPr>
          <w:b/>
        </w:rPr>
        <w:t xml:space="preserve">пет </w:t>
      </w:r>
      <w:r>
        <w:t>просечних зарада;</w:t>
      </w:r>
    </w:p>
    <w:p w:rsidR="00622C1F" w:rsidRDefault="00323AA6" w:rsidP="00622C1F">
      <w:pPr>
        <w:pStyle w:val="NoSpacing"/>
        <w:ind w:left="1065"/>
        <w:jc w:val="both"/>
      </w:pPr>
      <w:r>
        <w:t>( за 2020</w:t>
      </w:r>
      <w:r w:rsidR="00622C1F">
        <w:t>.</w:t>
      </w:r>
      <w:r>
        <w:t xml:space="preserve"> годину у износу од   </w:t>
      </w:r>
      <w:r w:rsidRPr="00323AA6">
        <w:rPr>
          <w:b/>
        </w:rPr>
        <w:t xml:space="preserve">446.670 </w:t>
      </w:r>
      <w:r w:rsidR="00622C1F" w:rsidRPr="00323AA6">
        <w:rPr>
          <w:b/>
        </w:rPr>
        <w:t xml:space="preserve"> динара</w:t>
      </w:r>
      <w:r w:rsidR="00622C1F">
        <w:t xml:space="preserve"> )   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t xml:space="preserve">Делатности </w:t>
      </w:r>
      <w:r>
        <w:rPr>
          <w:b/>
        </w:rPr>
        <w:t>производње и трговине</w:t>
      </w:r>
      <w:r>
        <w:t xml:space="preserve"> на велико дуванским производима , производње цемента ,  поштанских , мобилних и телефонских услуга , електропривреде , банкарства и осигурања имовине и лицаплаћају   </w:t>
      </w:r>
      <w:r>
        <w:rPr>
          <w:b/>
        </w:rPr>
        <w:t>четири</w:t>
      </w:r>
      <w:r w:rsidR="00323AA6">
        <w:t xml:space="preserve"> просечне зараде ( за 2020.годину  у износу од  </w:t>
      </w:r>
      <w:r w:rsidR="00323AA6" w:rsidRPr="00323AA6">
        <w:rPr>
          <w:b/>
        </w:rPr>
        <w:t xml:space="preserve">357.336 </w:t>
      </w:r>
      <w:r w:rsidRPr="00323AA6">
        <w:rPr>
          <w:b/>
        </w:rPr>
        <w:t xml:space="preserve"> динара</w:t>
      </w:r>
      <w:r>
        <w:t xml:space="preserve"> )</w:t>
      </w:r>
    </w:p>
    <w:p w:rsidR="00622C1F" w:rsidRDefault="00622C1F" w:rsidP="00622C1F">
      <w:pPr>
        <w:pStyle w:val="NoSpacing"/>
        <w:numPr>
          <w:ilvl w:val="0"/>
          <w:numId w:val="3"/>
        </w:numPr>
        <w:jc w:val="both"/>
      </w:pPr>
      <w:r>
        <w:rPr>
          <w:b/>
        </w:rPr>
        <w:t>Делатности казина , коцкарница , кладионица</w:t>
      </w:r>
      <w:r>
        <w:t xml:space="preserve"> , бинго сала и пружања коцкарских услуга и ноћних барова и дискотека плаћају  </w:t>
      </w:r>
      <w:r>
        <w:rPr>
          <w:b/>
        </w:rPr>
        <w:t xml:space="preserve"> две</w:t>
      </w:r>
      <w:r>
        <w:t xml:space="preserve">  просечне</w:t>
      </w:r>
      <w:r w:rsidR="00323AA6">
        <w:t xml:space="preserve"> зарадепросечне зараде ( за 2020.годину  у износу од  </w:t>
      </w:r>
      <w:r w:rsidR="00323AA6" w:rsidRPr="00323AA6">
        <w:rPr>
          <w:b/>
        </w:rPr>
        <w:t>178.668</w:t>
      </w:r>
      <w:r>
        <w:t xml:space="preserve"> динара ).</w:t>
      </w:r>
    </w:p>
    <w:p w:rsidR="00622C1F" w:rsidRDefault="00622C1F" w:rsidP="00622C1F">
      <w:pPr>
        <w:pStyle w:val="NoSpacing"/>
        <w:ind w:left="1065"/>
        <w:jc w:val="both"/>
      </w:pPr>
    </w:p>
    <w:p w:rsidR="00622C1F" w:rsidRDefault="00622C1F" w:rsidP="00622C1F">
      <w:pPr>
        <w:pStyle w:val="NoSpacing"/>
        <w:ind w:firstLine="705"/>
        <w:jc w:val="both"/>
      </w:pPr>
      <w:r>
        <w:t xml:space="preserve">Под просечном зарадом , у смислу става 1.овог тарифног броја , сматра се </w:t>
      </w:r>
      <w:r>
        <w:rPr>
          <w:b/>
        </w:rPr>
        <w:t>просечна зарада по запосленом</w:t>
      </w:r>
      <w:r>
        <w:t xml:space="preserve"> остварена на територији </w:t>
      </w:r>
      <w:r>
        <w:rPr>
          <w:b/>
        </w:rPr>
        <w:t>јединице локалне самоуправе по запосленом</w:t>
      </w:r>
      <w:r>
        <w:t xml:space="preserve"> остварена на територији јединице локалне самуправе </w:t>
      </w:r>
      <w:r>
        <w:rPr>
          <w:b/>
        </w:rPr>
        <w:t>у периоду   јануар – август године која претходи години за коју се утврђује фирмарина</w:t>
      </w:r>
      <w:r>
        <w:t xml:space="preserve"> , према подацима републичког органа надлежног за послове статистике  добијеног од Републичког завода за статистику </w:t>
      </w:r>
      <w:r w:rsidR="00323AA6">
        <w:t>Одељење у Ваљеву 01 Број:120-4/38 од 29.10.2019</w:t>
      </w:r>
      <w:r>
        <w:t>.године ,  просечна зарада по запосленом за општину Лајкова</w:t>
      </w:r>
      <w:r w:rsidR="00323AA6">
        <w:t>ц за период јануар – август 2019</w:t>
      </w:r>
      <w:r>
        <w:t xml:space="preserve">  године </w:t>
      </w:r>
      <w:r w:rsidR="00323AA6" w:rsidRPr="00323AA6">
        <w:rPr>
          <w:b/>
          <w:u w:val="single"/>
        </w:rPr>
        <w:t xml:space="preserve">износи 89.334 </w:t>
      </w:r>
      <w:r w:rsidRPr="00323AA6">
        <w:rPr>
          <w:b/>
          <w:u w:val="single"/>
        </w:rPr>
        <w:t>динара</w:t>
      </w:r>
      <w:r>
        <w:rPr>
          <w:u w:val="single"/>
        </w:rPr>
        <w:t xml:space="preserve"> </w:t>
      </w:r>
      <w:r w:rsidR="00323AA6">
        <w:rPr>
          <w:u w:val="single"/>
        </w:rPr>
        <w:t>.</w:t>
      </w:r>
      <w:r>
        <w:rPr>
          <w:u w:val="single"/>
        </w:rPr>
        <w:t xml:space="preserve"> </w:t>
      </w:r>
    </w:p>
    <w:p w:rsidR="00622C1F" w:rsidRDefault="00622C1F" w:rsidP="00622C1F">
      <w:pPr>
        <w:pStyle w:val="NoSpacing"/>
        <w:jc w:val="both"/>
      </w:pPr>
      <w:r>
        <w:tab/>
      </w:r>
    </w:p>
    <w:p w:rsidR="00622C1F" w:rsidRPr="00364F18" w:rsidRDefault="00622C1F" w:rsidP="00622C1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tab/>
      </w:r>
      <w:r>
        <w:rPr>
          <w:rFonts w:asciiTheme="minorHAnsi" w:hAnsiTheme="minorHAnsi"/>
          <w:sz w:val="22"/>
          <w:szCs w:val="22"/>
        </w:rPr>
        <w:t xml:space="preserve">Повећање износа </w:t>
      </w:r>
      <w:r>
        <w:t xml:space="preserve">Истицања фирме на пословном простору по </w:t>
      </w:r>
      <w:r>
        <w:rPr>
          <w:rFonts w:asciiTheme="minorHAnsi" w:hAnsiTheme="minorHAnsi"/>
          <w:sz w:val="22"/>
          <w:szCs w:val="22"/>
        </w:rPr>
        <w:t>Тарифном броју 1 став 2  је у складу са Законом о финансирању локалне самоуправе и Упутством за припрему</w:t>
      </w:r>
      <w:r w:rsidR="00364F18">
        <w:rPr>
          <w:rFonts w:asciiTheme="minorHAnsi" w:hAnsiTheme="minorHAnsi"/>
          <w:sz w:val="22"/>
          <w:szCs w:val="22"/>
        </w:rPr>
        <w:t xml:space="preserve"> буџета општине Лајковац за 2020</w:t>
      </w:r>
      <w:r>
        <w:rPr>
          <w:rFonts w:asciiTheme="minorHAnsi" w:hAnsiTheme="minorHAnsi"/>
          <w:sz w:val="22"/>
          <w:szCs w:val="22"/>
        </w:rPr>
        <w:t>.годину  по стоп</w:t>
      </w:r>
      <w:r w:rsidR="00364F18">
        <w:rPr>
          <w:rFonts w:asciiTheme="minorHAnsi" w:hAnsiTheme="minorHAnsi"/>
          <w:sz w:val="22"/>
          <w:szCs w:val="22"/>
        </w:rPr>
        <w:t xml:space="preserve">и пројектоване инфлације од 2% </w:t>
      </w:r>
      <w:r>
        <w:rPr>
          <w:rFonts w:asciiTheme="minorHAnsi" w:hAnsiTheme="minorHAnsi"/>
          <w:sz w:val="22"/>
          <w:szCs w:val="22"/>
        </w:rPr>
        <w:t xml:space="preserve">  , не</w:t>
      </w:r>
      <w:r w:rsidR="00364F18">
        <w:rPr>
          <w:rFonts w:asciiTheme="minorHAnsi" w:hAnsiTheme="minorHAnsi"/>
          <w:sz w:val="22"/>
          <w:szCs w:val="22"/>
        </w:rPr>
        <w:t>знатно утиче на повећање прихода  буџета, а и повећање просечне зараде утиче на повећање висине комуналних такси за посебне делатности-наведене у чл.15а Закона о финансирању локалне самоуправе.</w:t>
      </w:r>
    </w:p>
    <w:p w:rsidR="00622C1F" w:rsidRDefault="00622C1F" w:rsidP="00622C1F">
      <w:pPr>
        <w:pStyle w:val="NoSpacing"/>
        <w:tabs>
          <w:tab w:val="left" w:pos="0"/>
          <w:tab w:val="left" w:pos="1418"/>
        </w:tabs>
        <w:jc w:val="both"/>
      </w:pPr>
      <w:r>
        <w:t xml:space="preserve">                             Локална комунална  такса из чл.5. тачка 3) Држање средстава за игру ( „ забавне игре „ ) утврђена Тарифним бројем 4.ове Одлуке ,предвођена је као Законска могућност , а до сада није било утврђивања исте, а не очекује се да ће неких прихода од истих бити. </w:t>
      </w:r>
    </w:p>
    <w:p w:rsidR="00622C1F" w:rsidRDefault="00622C1F" w:rsidP="00622C1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22C1F" w:rsidRDefault="00622C1F" w:rsidP="00622C1F">
      <w:pPr>
        <w:pStyle w:val="NoSpacing"/>
        <w:jc w:val="both"/>
      </w:pPr>
    </w:p>
    <w:p w:rsidR="00622C1F" w:rsidRPr="00524332" w:rsidRDefault="00622C1F" w:rsidP="00622C1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4332">
        <w:rPr>
          <w:rFonts w:asciiTheme="minorHAnsi" w:hAnsiTheme="minorHAnsi" w:cstheme="minorHAnsi"/>
          <w:sz w:val="22"/>
          <w:szCs w:val="22"/>
        </w:rPr>
        <w:lastRenderedPageBreak/>
        <w:tab/>
        <w:t>Јавна расправа о нацрту Ове Одлуке  одржана је у великој сали општине Лајковац у 10 часова ,сугестија и предлога није било.</w:t>
      </w:r>
    </w:p>
    <w:p w:rsidR="00622C1F" w:rsidRPr="00524332" w:rsidRDefault="00622C1F" w:rsidP="00622C1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2C1F" w:rsidRDefault="00622C1F" w:rsidP="0052433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t xml:space="preserve">ПРОЦЕНА ФИНАНСИЈСКОГ ЕФЕКТА 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622C1F" w:rsidRDefault="00622C1F" w:rsidP="00622C1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102EE5" w:rsidRDefault="00102EE5" w:rsidP="00622C1F">
      <w:pPr>
        <w:pStyle w:val="NoSpacing"/>
        <w:ind w:firstLine="705"/>
        <w:jc w:val="both"/>
      </w:pPr>
      <w:r>
        <w:t xml:space="preserve">                                                                                </w:t>
      </w:r>
    </w:p>
    <w:p w:rsidR="00102EE5" w:rsidRDefault="00102EE5" w:rsidP="00622C1F">
      <w:pPr>
        <w:pStyle w:val="NoSpacing"/>
        <w:ind w:firstLine="705"/>
        <w:jc w:val="both"/>
      </w:pPr>
    </w:p>
    <w:p w:rsidR="00622C1F" w:rsidRPr="00102EE5" w:rsidRDefault="00102EE5" w:rsidP="00622C1F">
      <w:pPr>
        <w:pStyle w:val="NoSpacing"/>
        <w:ind w:firstLine="705"/>
        <w:jc w:val="both"/>
      </w:pPr>
      <w:r>
        <w:t xml:space="preserve">                                                                              ОПШТИНСКА УПРАВА ОПШТИНЕ ЛАЈКОВАЦ </w:t>
      </w:r>
    </w:p>
    <w:p w:rsidR="00622C1F" w:rsidRDefault="00622C1F" w:rsidP="00622C1F">
      <w:pPr>
        <w:pStyle w:val="NoSpacing"/>
        <w:jc w:val="both"/>
      </w:pPr>
    </w:p>
    <w:p w:rsidR="00622C1F" w:rsidRDefault="00622C1F" w:rsidP="007D6BD5">
      <w:pPr>
        <w:pStyle w:val="NoSpacing"/>
        <w:jc w:val="both"/>
      </w:pPr>
      <w:r>
        <w:t xml:space="preserve"> </w:t>
      </w:r>
      <w:r>
        <w:rPr>
          <w:lang w:val="en-GB"/>
        </w:rPr>
        <w:t xml:space="preserve">                                                                                                                                  </w:t>
      </w: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pStyle w:val="NoSpacing"/>
      </w:pPr>
    </w:p>
    <w:p w:rsidR="00622C1F" w:rsidRDefault="00622C1F" w:rsidP="00622C1F">
      <w:pPr>
        <w:ind w:firstLine="1440"/>
        <w:jc w:val="both"/>
        <w:rPr>
          <w:lang w:val="sr-Cyrl-CS"/>
        </w:rPr>
      </w:pPr>
    </w:p>
    <w:p w:rsidR="00622C1F" w:rsidRDefault="00622C1F" w:rsidP="00622C1F">
      <w:pPr>
        <w:rPr>
          <w:sz w:val="18"/>
          <w:szCs w:val="18"/>
          <w:lang w:val="ru-RU"/>
        </w:rPr>
      </w:pPr>
      <w:r>
        <w:rPr>
          <w:b/>
          <w:sz w:val="18"/>
          <w:szCs w:val="18"/>
          <w:lang w:val="sr-Cyrl-CS"/>
        </w:rPr>
        <w:t>РЕПУБЛИКА СРБИЈА</w:t>
      </w:r>
      <w:r>
        <w:rPr>
          <w:sz w:val="18"/>
          <w:szCs w:val="18"/>
          <w:lang w:val="sr-Cyrl-CS"/>
        </w:rPr>
        <w:t>Образац ПП-КТ</w:t>
      </w:r>
    </w:p>
    <w:p w:rsidR="00622C1F" w:rsidRDefault="00622C1F" w:rsidP="00622C1F">
      <w:pPr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ОПШТИНА ЛАЈКОВАЦ</w:t>
      </w:r>
    </w:p>
    <w:p w:rsidR="00622C1F" w:rsidRDefault="00622C1F" w:rsidP="00622C1F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Општинска управа Лајковац</w:t>
      </w:r>
    </w:p>
    <w:p w:rsidR="00622C1F" w:rsidRDefault="00622C1F" w:rsidP="00622C1F">
      <w:pPr>
        <w:rPr>
          <w:sz w:val="20"/>
          <w:szCs w:val="20"/>
          <w:lang w:val="sr-Cyrl-CS"/>
        </w:rPr>
      </w:pPr>
      <w:r>
        <w:rPr>
          <w:sz w:val="18"/>
          <w:szCs w:val="18"/>
          <w:lang w:val="sr-Cyrl-CS"/>
        </w:rPr>
        <w:t>Одељење локалне пореске администрације</w:t>
      </w:r>
    </w:p>
    <w:p w:rsidR="00622C1F" w:rsidRDefault="00622C1F" w:rsidP="00622C1F">
      <w:pPr>
        <w:rPr>
          <w:sz w:val="10"/>
          <w:szCs w:val="10"/>
          <w:lang w:val="sr-Cyrl-CS"/>
        </w:rPr>
      </w:pPr>
    </w:p>
    <w:p w:rsidR="00622C1F" w:rsidRDefault="00622C1F" w:rsidP="00622C1F">
      <w:pPr>
        <w:rPr>
          <w:sz w:val="16"/>
          <w:szCs w:val="16"/>
          <w:lang w:val="sr-Cyrl-CS"/>
        </w:rPr>
      </w:pPr>
    </w:p>
    <w:p w:rsidR="00622C1F" w:rsidRDefault="00622C1F" w:rsidP="00622C1F">
      <w:pPr>
        <w:shd w:val="clear" w:color="auto" w:fill="E0E0E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sr-Cyrl-CS"/>
        </w:rPr>
        <w:t>ПРИЈАВА</w:t>
      </w:r>
    </w:p>
    <w:p w:rsidR="00622C1F" w:rsidRDefault="00622C1F" w:rsidP="00622C1F">
      <w:pPr>
        <w:shd w:val="clear" w:color="auto" w:fill="E0E0E0"/>
        <w:jc w:val="center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 xml:space="preserve">      ЗА Л</w:t>
      </w:r>
      <w:r>
        <w:rPr>
          <w:b/>
          <w:sz w:val="18"/>
          <w:szCs w:val="18"/>
        </w:rPr>
        <w:t>O</w:t>
      </w:r>
      <w:r>
        <w:rPr>
          <w:b/>
          <w:sz w:val="18"/>
          <w:szCs w:val="18"/>
          <w:lang w:val="sr-Cyrl-CS"/>
        </w:rPr>
        <w:t>КАЛНУ КОМУНАЛНУ ТАКСУ ЗА ИСТИЦАЊЕ ФИРМЕ    за ________  годину</w:t>
      </w:r>
    </w:p>
    <w:p w:rsidR="00622C1F" w:rsidRDefault="00622C1F" w:rsidP="00622C1F">
      <w:pPr>
        <w:rPr>
          <w:sz w:val="16"/>
          <w:szCs w:val="16"/>
          <w:lang w:val="sr-Cyrl-CS"/>
        </w:rPr>
      </w:pPr>
    </w:p>
    <w:p w:rsidR="00622C1F" w:rsidRDefault="00622C1F" w:rsidP="00622C1F">
      <w:pPr>
        <w:rPr>
          <w:sz w:val="16"/>
          <w:szCs w:val="16"/>
          <w:lang w:val="sr-Cyrl-CS"/>
        </w:rPr>
      </w:pPr>
    </w:p>
    <w:p w:rsidR="00622C1F" w:rsidRDefault="00622C1F" w:rsidP="00622C1F">
      <w:pPr>
        <w:shd w:val="clear" w:color="auto" w:fill="C0C0C0"/>
        <w:rPr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 xml:space="preserve">1.ПОДАЦИ </w:t>
      </w:r>
      <w:r>
        <w:rPr>
          <w:b/>
          <w:sz w:val="18"/>
          <w:szCs w:val="18"/>
        </w:rPr>
        <w:t>O TAK</w:t>
      </w:r>
      <w:r>
        <w:rPr>
          <w:b/>
          <w:sz w:val="18"/>
          <w:szCs w:val="18"/>
          <w:lang w:val="sr-Cyrl-CS"/>
        </w:rPr>
        <w:t>СЕНОМ ОБВЕЗНИКУ</w:t>
      </w:r>
    </w:p>
    <w:tbl>
      <w:tblPr>
        <w:tblpPr w:leftFromText="180" w:rightFromText="180" w:bottomFromText="20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622C1F" w:rsidTr="00622C1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</w:t>
      </w:r>
      <w:r>
        <w:rPr>
          <w:sz w:val="18"/>
          <w:szCs w:val="18"/>
        </w:rPr>
        <w:t>1</w:t>
      </w:r>
      <w:r>
        <w:rPr>
          <w:sz w:val="18"/>
          <w:szCs w:val="18"/>
          <w:lang w:val="sr-Cyrl-CS"/>
        </w:rPr>
        <w:t>Фирма – пословно име</w:t>
      </w:r>
    </w:p>
    <w:p w:rsidR="00622C1F" w:rsidRDefault="00622C1F" w:rsidP="00622C1F">
      <w:pPr>
        <w:rPr>
          <w:sz w:val="16"/>
          <w:szCs w:val="16"/>
          <w:lang w:val="sr-Cyrl-CS"/>
        </w:rPr>
      </w:pPr>
    </w:p>
    <w:tbl>
      <w:tblPr>
        <w:tblpPr w:leftFromText="180" w:rightFromText="180" w:bottomFromText="200" w:vertAnchor="text" w:horzAnchor="margin" w:tblpXSpec="right" w:tblpY="2"/>
        <w:tblW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22C1F" w:rsidTr="00622C1F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</w:t>
      </w:r>
      <w:r>
        <w:rPr>
          <w:sz w:val="18"/>
          <w:szCs w:val="18"/>
        </w:rPr>
        <w:t>2</w:t>
      </w:r>
      <w:r>
        <w:rPr>
          <w:sz w:val="18"/>
          <w:szCs w:val="18"/>
          <w:lang w:val="sr-Cyrl-CS"/>
        </w:rPr>
        <w:t xml:space="preserve">Порески идентификациони број (ПИБ)         </w:t>
      </w:r>
    </w:p>
    <w:p w:rsidR="00622C1F" w:rsidRDefault="00622C1F" w:rsidP="00622C1F">
      <w:pPr>
        <w:rPr>
          <w:sz w:val="16"/>
          <w:szCs w:val="16"/>
          <w:lang w:val="sr-Cyrl-CS"/>
        </w:rPr>
      </w:pPr>
    </w:p>
    <w:tbl>
      <w:tblPr>
        <w:tblpPr w:leftFromText="180" w:rightFromText="180" w:bottomFromText="20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622C1F" w:rsidTr="00622C1F">
        <w:trPr>
          <w:trHeight w:val="3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1.3   . Име и презиме власника (оснивача)</w:t>
      </w:r>
    </w:p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rPr>
          <w:sz w:val="18"/>
          <w:szCs w:val="18"/>
          <w:lang w:val="sr-Cyrl-CS"/>
        </w:rPr>
      </w:pPr>
    </w:p>
    <w:tbl>
      <w:tblPr>
        <w:tblpPr w:leftFromText="180" w:rightFromText="180" w:bottomFromText="200" w:vertAnchor="text" w:horzAnchor="margin" w:tblpXSpec="right" w:tblpY="1"/>
        <w:tblW w:w="1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22C1F" w:rsidTr="00622C1F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1.4     Матични број (правног лица, односно предузетника</w:t>
      </w:r>
      <w:r>
        <w:rPr>
          <w:sz w:val="18"/>
          <w:szCs w:val="18"/>
          <w:lang w:val="sr-Cyrl-CS"/>
        </w:rPr>
        <w:t xml:space="preserve">)  </w:t>
      </w:r>
    </w:p>
    <w:tbl>
      <w:tblPr>
        <w:tblpPr w:leftFromText="180" w:rightFromText="180" w:bottomFromText="200" w:vertAnchor="text" w:horzAnchor="margin" w:tblpXSpec="right" w:tblpY="148"/>
        <w:tblW w:w="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22C1F" w:rsidTr="00622C1F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</w:t>
      </w:r>
      <w:r>
        <w:rPr>
          <w:sz w:val="18"/>
          <w:szCs w:val="18"/>
        </w:rPr>
        <w:t>5</w:t>
      </w:r>
      <w:r>
        <w:rPr>
          <w:sz w:val="18"/>
          <w:szCs w:val="18"/>
          <w:lang w:val="sr-Cyrl-CS"/>
        </w:rPr>
        <w:t xml:space="preserve">      Јединствени матични број грађана (ЈМБГ)</w:t>
      </w:r>
    </w:p>
    <w:p w:rsidR="00622C1F" w:rsidRDefault="00622C1F" w:rsidP="00622C1F">
      <w:pPr>
        <w:rPr>
          <w:sz w:val="16"/>
          <w:szCs w:val="16"/>
          <w:lang w:val="sr-Cyrl-CS"/>
        </w:rPr>
      </w:pPr>
    </w:p>
    <w:tbl>
      <w:tblPr>
        <w:tblpPr w:leftFromText="180" w:rightFromText="180" w:bottomFromText="200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622C1F" w:rsidTr="00622C1F">
        <w:trPr>
          <w:trHeight w:val="7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1.</w:t>
      </w:r>
      <w:r>
        <w:rPr>
          <w:sz w:val="18"/>
          <w:szCs w:val="18"/>
          <w:shd w:val="clear" w:color="auto" w:fill="E6E6E6"/>
        </w:rPr>
        <w:t>6</w:t>
      </w:r>
      <w:r>
        <w:rPr>
          <w:sz w:val="18"/>
          <w:szCs w:val="18"/>
          <w:shd w:val="clear" w:color="auto" w:fill="E6E6E6"/>
          <w:lang w:val="sr-Cyrl-CS"/>
        </w:rPr>
        <w:t xml:space="preserve">     Подаци о седишту / пребивалишту </w:t>
      </w:r>
    </w:p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 xml:space="preserve">       1.</w:t>
      </w:r>
      <w:r>
        <w:rPr>
          <w:sz w:val="18"/>
          <w:szCs w:val="18"/>
          <w:shd w:val="clear" w:color="auto" w:fill="E6E6E6"/>
        </w:rPr>
        <w:t>6</w:t>
      </w:r>
      <w:r>
        <w:rPr>
          <w:sz w:val="18"/>
          <w:szCs w:val="18"/>
          <w:shd w:val="clear" w:color="auto" w:fill="E6E6E6"/>
          <w:lang w:val="sr-Cyrl-CS"/>
        </w:rPr>
        <w:t>.1. Адреса, телефон, факс, Е-</w:t>
      </w:r>
      <w:r>
        <w:rPr>
          <w:sz w:val="18"/>
          <w:szCs w:val="18"/>
          <w:shd w:val="clear" w:color="auto" w:fill="E6E6E6"/>
        </w:rPr>
        <w:t>mail</w:t>
      </w:r>
    </w:p>
    <w:p w:rsidR="00622C1F" w:rsidRDefault="00622C1F" w:rsidP="00622C1F">
      <w:pPr>
        <w:ind w:left="360"/>
        <w:rPr>
          <w:sz w:val="16"/>
          <w:szCs w:val="16"/>
          <w:lang w:val="ru-RU"/>
        </w:rPr>
      </w:pPr>
    </w:p>
    <w:p w:rsidR="00622C1F" w:rsidRDefault="00622C1F" w:rsidP="00622C1F">
      <w:pPr>
        <w:ind w:left="360"/>
        <w:rPr>
          <w:sz w:val="16"/>
          <w:szCs w:val="16"/>
          <w:lang w:val="sr-Cyrl-CS"/>
        </w:rPr>
      </w:pPr>
    </w:p>
    <w:p w:rsidR="00622C1F" w:rsidRDefault="00622C1F" w:rsidP="00622C1F">
      <w:pPr>
        <w:shd w:val="clear" w:color="auto" w:fill="B3B3B3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shd w:val="clear" w:color="auto" w:fill="C0C0C0"/>
          <w:lang w:val="sr-Cyrl-CS"/>
        </w:rPr>
        <w:t>2. ПОДАЦИ О ДЕЛАТНОСТИ (ИСТАКНУТОЈ ФИРМИ</w:t>
      </w:r>
      <w:r>
        <w:rPr>
          <w:b/>
          <w:sz w:val="18"/>
          <w:szCs w:val="18"/>
          <w:lang w:val="sr-Cyrl-CS"/>
        </w:rPr>
        <w:t xml:space="preserve">)    </w:t>
      </w:r>
    </w:p>
    <w:p w:rsidR="00622C1F" w:rsidRDefault="00622C1F" w:rsidP="00622C1F">
      <w:pPr>
        <w:rPr>
          <w:b/>
          <w:sz w:val="18"/>
          <w:szCs w:val="18"/>
          <w:lang w:val="sr-Cyrl-CS"/>
        </w:rPr>
      </w:pPr>
    </w:p>
    <w:tbl>
      <w:tblPr>
        <w:tblpPr w:leftFromText="180" w:rightFromText="180" w:bottomFromText="200" w:vertAnchor="text" w:horzAnchor="margin" w:tblpXSpec="right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</w:tblGrid>
      <w:tr w:rsidR="00622C1F" w:rsidTr="00622C1F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lang w:val="sr-Cyrl-CS"/>
              </w:rPr>
            </w:pPr>
          </w:p>
        </w:tc>
      </w:tr>
    </w:tbl>
    <w:p w:rsidR="00622C1F" w:rsidRDefault="00622C1F" w:rsidP="00622C1F">
      <w:pPr>
        <w:shd w:val="clear" w:color="auto" w:fill="E6E6E6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2.1. Претежна делатност (назив и шифра)  </w:t>
      </w:r>
    </w:p>
    <w:p w:rsidR="00622C1F" w:rsidRDefault="00622C1F" w:rsidP="00622C1F">
      <w:pPr>
        <w:jc w:val="both"/>
        <w:rPr>
          <w:sz w:val="20"/>
          <w:szCs w:val="20"/>
          <w:lang w:val="ru-RU"/>
        </w:rPr>
      </w:pPr>
    </w:p>
    <w:tbl>
      <w:tblPr>
        <w:tblpPr w:leftFromText="180" w:rightFromText="180" w:bottomFromText="200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6"/>
      </w:tblGrid>
      <w:tr w:rsidR="00622C1F" w:rsidTr="00622C1F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</w:tbl>
    <w:p w:rsidR="00622C1F" w:rsidRDefault="00622C1F" w:rsidP="00622C1F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2.1.1. Адреса  објекта на коме је истакнута фирма</w:t>
      </w:r>
    </w:p>
    <w:p w:rsidR="00622C1F" w:rsidRDefault="00622C1F" w:rsidP="00622C1F">
      <w:pPr>
        <w:jc w:val="both"/>
        <w:rPr>
          <w:sz w:val="18"/>
          <w:szCs w:val="18"/>
          <w:lang w:val="sr-Cyrl-CS"/>
        </w:rPr>
      </w:pPr>
    </w:p>
    <w:tbl>
      <w:tblPr>
        <w:tblpPr w:leftFromText="180" w:rightFromText="180" w:bottomFromText="200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6"/>
      </w:tblGrid>
      <w:tr w:rsidR="00622C1F" w:rsidTr="00622C1F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</w:tbl>
    <w:p w:rsidR="00622C1F" w:rsidRDefault="00622C1F" w:rsidP="00622C1F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2.</w:t>
      </w:r>
      <w:r>
        <w:rPr>
          <w:sz w:val="18"/>
          <w:szCs w:val="18"/>
          <w:shd w:val="clear" w:color="auto" w:fill="E6E6E6"/>
        </w:rPr>
        <w:t>2</w:t>
      </w:r>
      <w:r>
        <w:rPr>
          <w:sz w:val="18"/>
          <w:szCs w:val="18"/>
          <w:shd w:val="clear" w:color="auto" w:fill="E6E6E6"/>
          <w:lang w:val="sr-Cyrl-CS"/>
        </w:rPr>
        <w:t>. Број истакнутих фирми ван пословног седишта</w:t>
      </w:r>
    </w:p>
    <w:p w:rsidR="00622C1F" w:rsidRDefault="00622C1F" w:rsidP="00622C1F">
      <w:pPr>
        <w:jc w:val="both"/>
        <w:rPr>
          <w:sz w:val="18"/>
          <w:szCs w:val="18"/>
          <w:lang w:val="sr-Cyrl-CS"/>
        </w:rPr>
      </w:pPr>
    </w:p>
    <w:p w:rsidR="00622C1F" w:rsidRDefault="00622C1F" w:rsidP="00622C1F">
      <w:pPr>
        <w:jc w:val="both"/>
        <w:rPr>
          <w:sz w:val="18"/>
          <w:szCs w:val="18"/>
          <w:lang w:val="sr-Cyrl-CS"/>
        </w:rPr>
      </w:pPr>
    </w:p>
    <w:p w:rsidR="00622C1F" w:rsidRDefault="00622C1F" w:rsidP="00622C1F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shd w:val="clear" w:color="auto" w:fill="E6E6E6"/>
          <w:lang w:val="sr-Cyrl-CS"/>
        </w:rPr>
        <w:t>2.</w:t>
      </w:r>
      <w:r>
        <w:rPr>
          <w:sz w:val="18"/>
          <w:szCs w:val="18"/>
          <w:shd w:val="clear" w:color="auto" w:fill="E6E6E6"/>
        </w:rPr>
        <w:t>3</w:t>
      </w:r>
      <w:r>
        <w:rPr>
          <w:sz w:val="18"/>
          <w:szCs w:val="18"/>
          <w:shd w:val="clear" w:color="auto" w:fill="E6E6E6"/>
          <w:lang w:val="sr-Cyrl-CS"/>
        </w:rPr>
        <w:t>.  Подаци о површини пословног простора</w:t>
      </w:r>
    </w:p>
    <w:p w:rsidR="00622C1F" w:rsidRDefault="00622C1F" w:rsidP="00622C1F">
      <w:pPr>
        <w:jc w:val="both"/>
        <w:rPr>
          <w:sz w:val="18"/>
          <w:szCs w:val="18"/>
          <w:lang w:val="sr-Cyrl-CS"/>
        </w:rPr>
      </w:pPr>
    </w:p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2</w:t>
      </w:r>
      <w:r>
        <w:rPr>
          <w:sz w:val="18"/>
          <w:szCs w:val="18"/>
          <w:shd w:val="clear" w:color="auto" w:fill="E6E6E6"/>
          <w:lang w:val="sr-Cyrl-CS"/>
        </w:rPr>
        <w:t>.4. Подаци о разврставању таксеног обвезника према Закону о рачуноводству и ревизији (микро,мало, средње или велико правно лице), предузетник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622C1F" w:rsidTr="00622C1F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b/>
                <w:sz w:val="16"/>
                <w:szCs w:val="16"/>
                <w:lang w:val="sr-Cyrl-CS"/>
              </w:rPr>
            </w:pPr>
          </w:p>
          <w:p w:rsidR="00622C1F" w:rsidRDefault="00622C1F">
            <w:pPr>
              <w:spacing w:line="276" w:lineRule="auto"/>
              <w:rPr>
                <w:b/>
                <w:sz w:val="16"/>
                <w:szCs w:val="16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rPr>
          <w:sz w:val="18"/>
          <w:szCs w:val="18"/>
          <w:lang w:val="sr-Cyrl-CS"/>
        </w:rPr>
      </w:pPr>
    </w:p>
    <w:tbl>
      <w:tblPr>
        <w:tblpPr w:leftFromText="180" w:rightFromText="180" w:bottomFromText="200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622C1F" w:rsidTr="00622C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</w:tbl>
    <w:p w:rsidR="00622C1F" w:rsidRDefault="00622C1F" w:rsidP="00622C1F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2.5. Приход у претходној години   </w:t>
      </w:r>
    </w:p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rPr>
          <w:sz w:val="18"/>
          <w:szCs w:val="18"/>
          <w:lang w:val="sr-Cyrl-CS"/>
        </w:rPr>
      </w:pPr>
    </w:p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2.6. Таксени обвезник обавља делатност и истиче фирму на следећим пословним објектима (навести назив, делатност и адресу сваког објекта ) – уколико обвезник има више објеката, исте навести у посебном прилогу или на полеђини пријаве.</w:t>
      </w:r>
    </w:p>
    <w:p w:rsidR="00622C1F" w:rsidRDefault="00622C1F" w:rsidP="00622C1F">
      <w:pPr>
        <w:shd w:val="clear" w:color="auto" w:fill="E6E6E6"/>
        <w:rPr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622C1F" w:rsidTr="00622C1F">
        <w:trPr>
          <w:trHeight w:val="1099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6"/>
                <w:szCs w:val="16"/>
                <w:lang w:val="sr-Cyrl-CS"/>
              </w:rPr>
            </w:pPr>
          </w:p>
        </w:tc>
      </w:tr>
    </w:tbl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sz w:val="16"/>
          <w:szCs w:val="16"/>
          <w:shd w:val="clear" w:color="auto" w:fill="E6E6E6"/>
          <w:lang w:val="ru-RU"/>
        </w:rPr>
      </w:pPr>
    </w:p>
    <w:p w:rsidR="00622C1F" w:rsidRDefault="00622C1F" w:rsidP="00622C1F">
      <w:pPr>
        <w:jc w:val="both"/>
        <w:rPr>
          <w:b/>
          <w:sz w:val="18"/>
          <w:szCs w:val="18"/>
          <w:shd w:val="clear" w:color="auto" w:fill="E6E6E6"/>
          <w:lang w:val="sr-Cyrl-CS"/>
        </w:rPr>
      </w:pPr>
      <w:r>
        <w:rPr>
          <w:b/>
          <w:sz w:val="18"/>
          <w:szCs w:val="18"/>
          <w:shd w:val="clear" w:color="auto" w:fill="E6E6E6"/>
          <w:lang w:val="sr-Cyrl-CS"/>
        </w:rPr>
        <w:t>3. НАПОМЕНА</w:t>
      </w:r>
    </w:p>
    <w:p w:rsidR="00622C1F" w:rsidRDefault="00622C1F" w:rsidP="00622C1F">
      <w:pPr>
        <w:jc w:val="both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_________________________________________________________________________________________________________________</w:t>
      </w:r>
    </w:p>
    <w:p w:rsidR="00622C1F" w:rsidRDefault="00622C1F" w:rsidP="00622C1F">
      <w:pPr>
        <w:jc w:val="both"/>
        <w:rPr>
          <w:b/>
          <w:sz w:val="10"/>
          <w:szCs w:val="10"/>
          <w:lang w:val="sr-Cyrl-CS"/>
        </w:rPr>
      </w:pPr>
    </w:p>
    <w:p w:rsidR="00622C1F" w:rsidRDefault="00622C1F" w:rsidP="00622C1F">
      <w:pPr>
        <w:jc w:val="both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_________________________________________________________________________________________________________________</w:t>
      </w:r>
    </w:p>
    <w:p w:rsidR="00622C1F" w:rsidRDefault="00622C1F" w:rsidP="00622C1F">
      <w:pPr>
        <w:jc w:val="both"/>
        <w:rPr>
          <w:sz w:val="10"/>
          <w:szCs w:val="10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  <w:lang w:val="sr-Cyrl-CS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</w:rPr>
      </w:pPr>
    </w:p>
    <w:p w:rsidR="00622C1F" w:rsidRDefault="00622C1F" w:rsidP="00622C1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622C1F" w:rsidTr="00622C1F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22C1F" w:rsidRDefault="00622C1F">
            <w:pPr>
              <w:spacing w:line="276" w:lineRule="auto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Попуњава подносилац пријаве</w:t>
            </w:r>
          </w:p>
        </w:tc>
      </w:tr>
      <w:tr w:rsidR="00622C1F" w:rsidTr="00622C1F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b/>
                <w:bCs/>
                <w:sz w:val="16"/>
                <w:szCs w:val="16"/>
                <w:lang w:val="sr-Cyrl-CS"/>
              </w:rPr>
            </w:pPr>
          </w:p>
          <w:p w:rsidR="00622C1F" w:rsidRDefault="00622C1F">
            <w:pPr>
              <w:spacing w:line="276" w:lineRule="auto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>Под кривичном и материјалном одговорношћу изјављујем да су подаци у пријави потпуни и тачни:</w:t>
            </w:r>
          </w:p>
          <w:p w:rsidR="00622C1F" w:rsidRDefault="00622C1F">
            <w:pPr>
              <w:spacing w:line="276" w:lineRule="auto"/>
              <w:rPr>
                <w:b/>
                <w:bCs/>
                <w:sz w:val="16"/>
                <w:szCs w:val="16"/>
                <w:lang w:val="sr-Cyrl-CS"/>
              </w:rPr>
            </w:pPr>
          </w:p>
          <w:p w:rsidR="00622C1F" w:rsidRDefault="00622C1F">
            <w:pPr>
              <w:spacing w:line="276" w:lineRule="auto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 xml:space="preserve"> ________________________        ___________________________     М.П.         _____________________________</w:t>
            </w:r>
          </w:p>
          <w:p w:rsidR="00622C1F" w:rsidRDefault="00622C1F">
            <w:pPr>
              <w:spacing w:line="276" w:lineRule="auto"/>
              <w:rPr>
                <w:bCs/>
                <w:sz w:val="16"/>
                <w:szCs w:val="16"/>
                <w:lang w:val="sr-Cyrl-CS"/>
              </w:rPr>
            </w:pPr>
            <w:r>
              <w:rPr>
                <w:bCs/>
                <w:sz w:val="16"/>
                <w:szCs w:val="16"/>
                <w:lang w:val="sr-Cyrl-CS"/>
              </w:rPr>
              <w:t xml:space="preserve">(место)                                                               (датум)                                                        (потпис одговорног лица- подносиоца пријаве)                                                        </w:t>
            </w:r>
          </w:p>
          <w:p w:rsidR="00622C1F" w:rsidRDefault="00622C1F">
            <w:pPr>
              <w:spacing w:line="276" w:lineRule="auto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622C1F" w:rsidTr="00622C1F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22C1F" w:rsidRDefault="00622C1F">
            <w:pPr>
              <w:spacing w:line="276" w:lineRule="auto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Попуњава Локална пореска администрација:</w:t>
            </w:r>
          </w:p>
        </w:tc>
      </w:tr>
      <w:tr w:rsidR="00622C1F" w:rsidTr="00622C1F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F" w:rsidRDefault="00622C1F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Потврда о пријему пријаве</w:t>
            </w:r>
          </w:p>
          <w:p w:rsidR="00622C1F" w:rsidRDefault="00622C1F">
            <w:pPr>
              <w:spacing w:line="276" w:lineRule="auto"/>
              <w:rPr>
                <w:sz w:val="18"/>
                <w:szCs w:val="18"/>
              </w:rPr>
            </w:pPr>
          </w:p>
          <w:p w:rsidR="00622C1F" w:rsidRDefault="00622C1F">
            <w:pPr>
              <w:spacing w:line="276" w:lineRule="auto"/>
              <w:rPr>
                <w:sz w:val="16"/>
                <w:szCs w:val="16"/>
                <w:lang w:val="sr-Cyrl-CS"/>
              </w:rPr>
            </w:pPr>
          </w:p>
        </w:tc>
      </w:tr>
    </w:tbl>
    <w:p w:rsidR="00622C1F" w:rsidRDefault="00622C1F" w:rsidP="00622C1F"/>
    <w:p w:rsidR="00622C1F" w:rsidRDefault="00622C1F" w:rsidP="00622C1F">
      <w:pPr>
        <w:pStyle w:val="NoSpacing"/>
      </w:pPr>
    </w:p>
    <w:p w:rsidR="00D2582E" w:rsidRDefault="00D2582E"/>
    <w:sectPr w:rsidR="00D2582E" w:rsidSect="00D2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16F"/>
    <w:multiLevelType w:val="hybridMultilevel"/>
    <w:tmpl w:val="2136791C"/>
    <w:lvl w:ilvl="0" w:tplc="44665040">
      <w:start w:val="1"/>
      <w:numFmt w:val="decimal"/>
      <w:lvlText w:val="%1)"/>
      <w:lvlJc w:val="left"/>
      <w:pPr>
        <w:ind w:left="1211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101356"/>
    <w:multiLevelType w:val="hybridMultilevel"/>
    <w:tmpl w:val="54F0154C"/>
    <w:lvl w:ilvl="0" w:tplc="0A3AB0E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E985862"/>
    <w:multiLevelType w:val="hybridMultilevel"/>
    <w:tmpl w:val="5526E2F2"/>
    <w:lvl w:ilvl="0" w:tplc="8C58B0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strike w:val="0"/>
        <w:dstrike w:val="0"/>
        <w:u w:val="none"/>
        <w:effect w:val="none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801082"/>
    <w:multiLevelType w:val="hybridMultilevel"/>
    <w:tmpl w:val="1F181DD4"/>
    <w:lvl w:ilvl="0" w:tplc="4C0602D6"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723F28E1"/>
    <w:multiLevelType w:val="hybridMultilevel"/>
    <w:tmpl w:val="923466D2"/>
    <w:lvl w:ilvl="0" w:tplc="675A613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22C1F"/>
    <w:rsid w:val="00071D09"/>
    <w:rsid w:val="000D523C"/>
    <w:rsid w:val="00102EE5"/>
    <w:rsid w:val="00145E0F"/>
    <w:rsid w:val="00191F60"/>
    <w:rsid w:val="001E051E"/>
    <w:rsid w:val="00323AA6"/>
    <w:rsid w:val="00324224"/>
    <w:rsid w:val="00355A23"/>
    <w:rsid w:val="00364F18"/>
    <w:rsid w:val="003C653F"/>
    <w:rsid w:val="004C3420"/>
    <w:rsid w:val="00524332"/>
    <w:rsid w:val="00622C1F"/>
    <w:rsid w:val="007D6BD5"/>
    <w:rsid w:val="007F77D8"/>
    <w:rsid w:val="0089456E"/>
    <w:rsid w:val="009B2C96"/>
    <w:rsid w:val="009E4D0A"/>
    <w:rsid w:val="00A7498E"/>
    <w:rsid w:val="00A84D1C"/>
    <w:rsid w:val="00B67072"/>
    <w:rsid w:val="00BD1A94"/>
    <w:rsid w:val="00D2582E"/>
    <w:rsid w:val="00E16BE6"/>
    <w:rsid w:val="00F21092"/>
    <w:rsid w:val="00F70969"/>
    <w:rsid w:val="00F7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C1F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622C1F"/>
    <w:pPr>
      <w:ind w:left="720"/>
      <w:contextualSpacing/>
    </w:pPr>
  </w:style>
  <w:style w:type="paragraph" w:customStyle="1" w:styleId="1tekst">
    <w:name w:val="_1tekst"/>
    <w:basedOn w:val="Normal"/>
    <w:rsid w:val="00622C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2019-12-10T10:19:00Z</cp:lastPrinted>
  <dcterms:created xsi:type="dcterms:W3CDTF">2019-12-11T06:48:00Z</dcterms:created>
  <dcterms:modified xsi:type="dcterms:W3CDTF">2019-12-11T06:48:00Z</dcterms:modified>
</cp:coreProperties>
</file>